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0D5C" w:rsidRPr="00393170" w:rsidRDefault="00A52414" w:rsidP="00714F9E">
      <w:pPr>
        <w:pStyle w:val="NoSpacing"/>
        <w:spacing w:line="276" w:lineRule="auto"/>
        <w:jc w:val="center"/>
        <w:rPr>
          <w:b/>
          <w:sz w:val="32"/>
          <w:szCs w:val="32"/>
        </w:rPr>
      </w:pPr>
      <w:bookmarkStart w:id="0" w:name="_GoBack"/>
      <w:bookmarkEnd w:id="0"/>
      <w:r>
        <w:rPr>
          <w:b/>
          <w:sz w:val="32"/>
          <w:szCs w:val="32"/>
        </w:rPr>
        <w:t xml:space="preserve">Oceans as a Heat </w:t>
      </w:r>
      <w:r w:rsidR="00274FE2">
        <w:rPr>
          <w:b/>
          <w:sz w:val="32"/>
          <w:szCs w:val="32"/>
        </w:rPr>
        <w:t xml:space="preserve">Reservoir </w:t>
      </w:r>
      <w:r w:rsidR="007A719E">
        <w:rPr>
          <w:b/>
          <w:sz w:val="32"/>
          <w:szCs w:val="32"/>
        </w:rPr>
        <w:t>– Supplemental Background Information</w:t>
      </w:r>
    </w:p>
    <w:p w:rsidR="00E90236" w:rsidRDefault="00E90236" w:rsidP="00E90236">
      <w:pPr>
        <w:pStyle w:val="Heading1"/>
      </w:pPr>
      <w:r>
        <w:t>Thermal</w:t>
      </w:r>
      <w:r w:rsidRPr="005651B3">
        <w:t xml:space="preserve"> radiation of solid bodies</w:t>
      </w:r>
    </w:p>
    <w:p w:rsidR="00E90236" w:rsidRPr="005651B3" w:rsidRDefault="00E90236" w:rsidP="00042DDA">
      <w:r w:rsidRPr="005651B3">
        <w:t xml:space="preserve">Any given body with a temperature above absolute zero, i.e.  </w:t>
      </w:r>
      <m:oMath>
        <m:r>
          <w:rPr>
            <w:rFonts w:ascii="Cambria Math" w:hAnsi="Cambria Math"/>
          </w:rPr>
          <m:t xml:space="preserve">T&gt;0 </m:t>
        </m:r>
        <m:r>
          <m:rPr>
            <m:sty m:val="p"/>
          </m:rPr>
          <w:rPr>
            <w:rFonts w:ascii="Cambria Math" w:hAnsi="Cambria Math"/>
          </w:rPr>
          <m:t>K</m:t>
        </m:r>
      </m:oMath>
      <w:r w:rsidRPr="005651B3">
        <w:t xml:space="preserve"> radiates. According to Planck’s Radiation Law (ideally for a black body)</w:t>
      </w:r>
      <w:r w:rsidR="00A71CCF">
        <w:t>,</w:t>
      </w:r>
      <w:r w:rsidRPr="005651B3">
        <w:t xml:space="preserve"> the distribution of frequencies of the emitted spectrum d</w:t>
      </w:r>
      <w:r w:rsidR="00E54FD6">
        <w:t>e</w:t>
      </w:r>
      <w:r w:rsidRPr="005651B3">
        <w:t>pends on the temperature.</w:t>
      </w:r>
    </w:p>
    <w:p w:rsidR="00E90236" w:rsidRPr="005651B3" w:rsidRDefault="00E90236" w:rsidP="00042DDA">
      <m:oMathPara>
        <m:oMath>
          <m:r>
            <w:rPr>
              <w:rFonts w:ascii="Cambria Math" w:hAnsi="Cambria Math"/>
            </w:rPr>
            <m:t>U</m:t>
          </m:r>
          <m:d>
            <m:dPr>
              <m:ctrlPr>
                <w:rPr>
                  <w:rFonts w:ascii="Cambria Math" w:hAnsi="Cambria Math"/>
                </w:rPr>
              </m:ctrlPr>
            </m:dPr>
            <m:e>
              <m:r>
                <w:rPr>
                  <w:rFonts w:ascii="Cambria Math" w:hAnsi="Cambria Math"/>
                </w:rPr>
                <m:t>ν</m:t>
              </m:r>
              <m:r>
                <m:rPr>
                  <m:sty m:val="p"/>
                </m:rPr>
                <w:rPr>
                  <w:rFonts w:ascii="Cambria Math" w:hAnsi="Cambria Math"/>
                </w:rPr>
                <m:t>,</m:t>
              </m:r>
              <m:r>
                <w:rPr>
                  <w:rFonts w:ascii="Cambria Math" w:hAnsi="Cambria Math"/>
                </w:rPr>
                <m:t>T</m:t>
              </m:r>
            </m:e>
          </m:d>
          <m:r>
            <m:rPr>
              <m:sty m:val="p"/>
            </m:rPr>
            <w:rPr>
              <w:rFonts w:ascii="Cambria Math" w:hAnsi="Cambria Math"/>
            </w:rPr>
            <m:t>=</m:t>
          </m:r>
          <m:f>
            <m:fPr>
              <m:ctrlPr>
                <w:rPr>
                  <w:rFonts w:ascii="Cambria Math" w:hAnsi="Cambria Math"/>
                </w:rPr>
              </m:ctrlPr>
            </m:fPr>
            <m:num>
              <m:r>
                <m:rPr>
                  <m:sty m:val="p"/>
                </m:rPr>
                <w:rPr>
                  <w:rFonts w:ascii="Cambria Math" w:hAnsi="Cambria Math"/>
                </w:rPr>
                <m:t>8</m:t>
              </m:r>
              <m:r>
                <w:rPr>
                  <w:rFonts w:ascii="Cambria Math" w:hAnsi="Cambria Math"/>
                </w:rPr>
                <m:t>πh</m:t>
              </m:r>
              <m:sSup>
                <m:sSupPr>
                  <m:ctrlPr>
                    <w:rPr>
                      <w:rFonts w:ascii="Cambria Math" w:hAnsi="Cambria Math"/>
                    </w:rPr>
                  </m:ctrlPr>
                </m:sSupPr>
                <m:e>
                  <m:r>
                    <w:rPr>
                      <w:rFonts w:ascii="Cambria Math" w:hAnsi="Cambria Math"/>
                    </w:rPr>
                    <m:t>ν</m:t>
                  </m:r>
                </m:e>
                <m:sup>
                  <m:r>
                    <m:rPr>
                      <m:sty m:val="p"/>
                    </m:rPr>
                    <w:rPr>
                      <w:rFonts w:ascii="Cambria Math" w:hAnsi="Cambria Math"/>
                    </w:rPr>
                    <m:t>3</m:t>
                  </m:r>
                </m:sup>
              </m:sSup>
            </m:num>
            <m:den>
              <m:sSup>
                <m:sSupPr>
                  <m:ctrlPr>
                    <w:rPr>
                      <w:rFonts w:ascii="Cambria Math" w:hAnsi="Cambria Math"/>
                    </w:rPr>
                  </m:ctrlPr>
                </m:sSupPr>
                <m:e>
                  <m:r>
                    <w:rPr>
                      <w:rFonts w:ascii="Cambria Math" w:hAnsi="Cambria Math"/>
                    </w:rPr>
                    <m:t>c</m:t>
                  </m:r>
                </m:e>
                <m:sup>
                  <m:r>
                    <m:rPr>
                      <m:sty m:val="p"/>
                    </m:rPr>
                    <w:rPr>
                      <w:rFonts w:ascii="Cambria Math" w:hAnsi="Cambria Math"/>
                    </w:rPr>
                    <m:t>3</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hν</m:t>
                      </m:r>
                    </m:num>
                    <m:den>
                      <m:r>
                        <w:rPr>
                          <w:rFonts w:ascii="Cambria Math" w:hAnsi="Cambria Math"/>
                        </w:rPr>
                        <m:t>kT</m:t>
                      </m:r>
                    </m:den>
                  </m:f>
                </m:sup>
              </m:sSup>
              <m:r>
                <m:rPr>
                  <m:sty m:val="p"/>
                </m:rPr>
                <w:rPr>
                  <w:rFonts w:ascii="Cambria Math" w:hAnsi="Cambria Math"/>
                </w:rPr>
                <m:t>-1</m:t>
              </m:r>
            </m:den>
          </m:f>
        </m:oMath>
      </m:oMathPara>
    </w:p>
    <w:p w:rsidR="00E90236" w:rsidRPr="005651B3" w:rsidRDefault="00E90236" w:rsidP="00042DDA">
      <w:r w:rsidRPr="005651B3">
        <w:t>Integrating overall frequencies leads to the Radiation Law of Stefan Boltzmann</w:t>
      </w:r>
      <w:r w:rsidR="00A71CCF">
        <w:t>,</w:t>
      </w:r>
      <w:r w:rsidRPr="005651B3">
        <w:t xml:space="preserve"> which describes the total emitted power. </w:t>
      </w:r>
      <w:proofErr w:type="gramStart"/>
      <w:r w:rsidRPr="005651B3">
        <w:t>In reality</w:t>
      </w:r>
      <w:r w:rsidR="00A71CCF">
        <w:t>,</w:t>
      </w:r>
      <w:r w:rsidRPr="005651B3">
        <w:t xml:space="preserve"> black</w:t>
      </w:r>
      <w:proofErr w:type="gramEnd"/>
      <w:r w:rsidRPr="005651B3">
        <w:t xml:space="preserve"> bodies only exist up to a certain degree of approximation. Therefore, Kirchhoff’s Radiation Law about the radiant power of any given body can be applied:</w:t>
      </w:r>
    </w:p>
    <w:p w:rsidR="00E90236" w:rsidRPr="005651B3" w:rsidRDefault="008B76DC" w:rsidP="00042DDA">
      <m:oMathPara>
        <m:oMath>
          <m:sSub>
            <m:sSubPr>
              <m:ctrlPr>
                <w:rPr>
                  <w:rFonts w:ascii="Cambria Math" w:hAnsi="Cambria Math"/>
                </w:rPr>
              </m:ctrlPr>
            </m:sSubPr>
            <m:e>
              <m:r>
                <w:rPr>
                  <w:rFonts w:ascii="Cambria Math" w:hAnsi="Cambria Math"/>
                </w:rPr>
                <m:t>L</m:t>
              </m:r>
            </m:e>
            <m:sub>
              <m:r>
                <m:rPr>
                  <m:sty m:val="p"/>
                </m:rPr>
                <w:rPr>
                  <w:rFonts w:ascii="Cambria Math" w:hAnsi="Cambria Math"/>
                </w:rPr>
                <m:t>Ω</m:t>
              </m:r>
              <m:r>
                <w:rPr>
                  <w:rFonts w:ascii="Cambria Math" w:hAnsi="Cambria Math"/>
                </w:rPr>
                <m:t>ν</m:t>
              </m:r>
            </m:sub>
          </m:sSub>
          <m:d>
            <m:dPr>
              <m:ctrlPr>
                <w:rPr>
                  <w:rFonts w:ascii="Cambria Math" w:hAnsi="Cambria Math"/>
                </w:rPr>
              </m:ctrlPr>
            </m:dPr>
            <m:e>
              <m:r>
                <w:rPr>
                  <w:rFonts w:ascii="Cambria Math" w:hAnsi="Cambria Math"/>
                </w:rPr>
                <m:t>β</m:t>
              </m:r>
              <m:r>
                <m:rPr>
                  <m:sty m:val="p"/>
                </m:rPr>
                <w:rPr>
                  <w:rFonts w:ascii="Cambria Math" w:hAnsi="Cambria Math"/>
                </w:rPr>
                <m:t>,</m:t>
              </m:r>
              <m:r>
                <w:rPr>
                  <w:rFonts w:ascii="Cambria Math" w:hAnsi="Cambria Math"/>
                </w:rPr>
                <m:t>φ</m:t>
              </m:r>
              <m:r>
                <m:rPr>
                  <m:sty m:val="p"/>
                </m:rPr>
                <w:rPr>
                  <w:rFonts w:ascii="Cambria Math" w:hAnsi="Cambria Math"/>
                </w:rPr>
                <m:t>,</m:t>
              </m:r>
              <m:r>
                <w:rPr>
                  <w:rFonts w:ascii="Cambria Math" w:hAnsi="Cambria Math"/>
                </w:rPr>
                <m:t>ν</m:t>
              </m:r>
              <m:r>
                <m:rPr>
                  <m:sty m:val="p"/>
                </m:rPr>
                <w:rPr>
                  <w:rFonts w:ascii="Cambria Math" w:hAnsi="Cambria Math"/>
                </w:rPr>
                <m:t>,</m:t>
              </m:r>
              <m:r>
                <w:rPr>
                  <w:rFonts w:ascii="Cambria Math" w:hAnsi="Cambria Math"/>
                </w:rPr>
                <m:t>T</m:t>
              </m:r>
            </m:e>
          </m:d>
          <m:r>
            <m:rPr>
              <m:sty m:val="p"/>
            </m:rPr>
            <w:rPr>
              <w:rFonts w:ascii="Cambria Math" w:hAnsi="Cambria Math"/>
            </w:rPr>
            <m:t>=</m:t>
          </m:r>
          <m:sSubSup>
            <m:sSubSupPr>
              <m:ctrlPr>
                <w:rPr>
                  <w:rFonts w:ascii="Cambria Math" w:hAnsi="Cambria Math"/>
                </w:rPr>
              </m:ctrlPr>
            </m:sSubSupPr>
            <m:e>
              <m:r>
                <w:rPr>
                  <w:rFonts w:ascii="Cambria Math" w:hAnsi="Cambria Math"/>
                </w:rPr>
                <m:t>L</m:t>
              </m:r>
            </m:e>
            <m:sub>
              <m:r>
                <m:rPr>
                  <m:sty m:val="p"/>
                </m:rPr>
                <w:rPr>
                  <w:rFonts w:ascii="Cambria Math" w:hAnsi="Cambria Math"/>
                </w:rPr>
                <m:t>Ω</m:t>
              </m:r>
              <m:r>
                <w:rPr>
                  <w:rFonts w:ascii="Cambria Math" w:hAnsi="Cambria Math"/>
                </w:rPr>
                <m:t>ν</m:t>
              </m:r>
            </m:sub>
            <m:sup>
              <m:r>
                <w:rPr>
                  <w:rFonts w:ascii="Cambria Math" w:hAnsi="Cambria Math"/>
                </w:rPr>
                <m:t>o</m:t>
              </m:r>
            </m:sup>
          </m:sSubSup>
          <m:r>
            <m:rPr>
              <m:sty m:val="p"/>
            </m:rPr>
            <w:rPr>
              <w:rFonts w:ascii="Cambria Math" w:hAnsi="Cambria Math"/>
            </w:rPr>
            <m:t>(</m:t>
          </m:r>
          <m:r>
            <w:rPr>
              <w:rFonts w:ascii="Cambria Math" w:hAnsi="Cambria Math"/>
            </w:rPr>
            <m:t>ν</m:t>
          </m:r>
          <m:r>
            <m:rPr>
              <m:sty m:val="p"/>
            </m:rPr>
            <w:rPr>
              <w:rFonts w:ascii="Cambria Math" w:hAnsi="Cambria Math"/>
            </w:rPr>
            <m:t>,</m:t>
          </m:r>
          <m:r>
            <w:rPr>
              <w:rFonts w:ascii="Cambria Math" w:hAnsi="Cambria Math"/>
            </w:rPr>
            <m:t>T</m:t>
          </m:r>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ν</m:t>
              </m:r>
            </m:sub>
            <m:sup>
              <m:r>
                <m:rPr>
                  <m:sty m:val="p"/>
                </m:rPr>
                <w:rPr>
                  <w:rFonts w:ascii="Cambria Math" w:hAnsi="Cambria Math"/>
                </w:rPr>
                <m:t>'</m:t>
              </m:r>
            </m:sup>
          </m:sSubSup>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φ</m:t>
          </m:r>
          <m:r>
            <m:rPr>
              <m:sty m:val="p"/>
            </m:rPr>
            <w:rPr>
              <w:rFonts w:ascii="Cambria Math" w:hAnsi="Cambria Math"/>
            </w:rPr>
            <m:t>,</m:t>
          </m:r>
          <m:r>
            <w:rPr>
              <w:rFonts w:ascii="Cambria Math" w:hAnsi="Cambria Math"/>
            </w:rPr>
            <m:t>ν</m:t>
          </m:r>
          <m:r>
            <m:rPr>
              <m:sty m:val="p"/>
            </m:rPr>
            <w:rPr>
              <w:rFonts w:ascii="Cambria Math" w:hAnsi="Cambria Math"/>
            </w:rPr>
            <m:t>,</m:t>
          </m:r>
          <m:r>
            <w:rPr>
              <w:rFonts w:ascii="Cambria Math" w:hAnsi="Cambria Math"/>
            </w:rPr>
            <m:t>T</m:t>
          </m:r>
          <m:r>
            <m:rPr>
              <m:sty m:val="p"/>
            </m:rPr>
            <w:rPr>
              <w:rFonts w:ascii="Cambria Math" w:hAnsi="Cambria Math"/>
            </w:rPr>
            <m:t>)</m:t>
          </m:r>
        </m:oMath>
      </m:oMathPara>
    </w:p>
    <w:p w:rsidR="00E90236" w:rsidRPr="005651B3" w:rsidRDefault="00E90236" w:rsidP="00042DDA">
      <w:r w:rsidRPr="005651B3">
        <w:t xml:space="preserve">This means that the radiant power </w:t>
      </w:r>
      <m:oMath>
        <m:sSub>
          <m:sSubPr>
            <m:ctrlPr>
              <w:rPr>
                <w:rFonts w:ascii="Cambria Math" w:hAnsi="Cambria Math"/>
                <w:i/>
              </w:rPr>
            </m:ctrlPr>
          </m:sSubPr>
          <m:e>
            <m:r>
              <w:rPr>
                <w:rFonts w:ascii="Cambria Math" w:hAnsi="Cambria Math"/>
              </w:rPr>
              <m:t>L</m:t>
            </m:r>
          </m:e>
          <m:sub>
            <m:r>
              <m:rPr>
                <m:sty m:val="p"/>
              </m:rPr>
              <w:rPr>
                <w:rFonts w:ascii="Cambria Math" w:hAnsi="Cambria Math"/>
              </w:rPr>
              <m:t>Ω</m:t>
            </m:r>
            <m:r>
              <w:rPr>
                <w:rFonts w:ascii="Cambria Math" w:hAnsi="Cambria Math"/>
              </w:rPr>
              <m:t>ν</m:t>
            </m:r>
          </m:sub>
        </m:sSub>
        <m:d>
          <m:dPr>
            <m:ctrlPr>
              <w:rPr>
                <w:rFonts w:ascii="Cambria Math" w:hAnsi="Cambria Math"/>
                <w:i/>
              </w:rPr>
            </m:ctrlPr>
          </m:dPr>
          <m:e>
            <m:r>
              <w:rPr>
                <w:rFonts w:ascii="Cambria Math" w:hAnsi="Cambria Math"/>
              </w:rPr>
              <m:t>β,φ,ν,T</m:t>
            </m:r>
          </m:e>
        </m:d>
      </m:oMath>
      <w:r w:rsidRPr="005651B3">
        <w:t xml:space="preserve"> of a given body is as large as the total radiant power of a black body </w:t>
      </w:r>
      <m:oMath>
        <m:sSubSup>
          <m:sSubSupPr>
            <m:ctrlPr>
              <w:rPr>
                <w:rFonts w:ascii="Cambria Math" w:hAnsi="Cambria Math"/>
                <w:i/>
              </w:rPr>
            </m:ctrlPr>
          </m:sSubSupPr>
          <m:e>
            <m:r>
              <w:rPr>
                <w:rFonts w:ascii="Cambria Math" w:hAnsi="Cambria Math"/>
              </w:rPr>
              <m:t>L</m:t>
            </m:r>
          </m:e>
          <m:sub>
            <m:r>
              <m:rPr>
                <m:sty m:val="p"/>
              </m:rPr>
              <w:rPr>
                <w:rFonts w:ascii="Cambria Math" w:hAnsi="Cambria Math"/>
              </w:rPr>
              <m:t>Ω</m:t>
            </m:r>
            <m:r>
              <w:rPr>
                <w:rFonts w:ascii="Cambria Math" w:hAnsi="Cambria Math"/>
              </w:rPr>
              <m:t>ν</m:t>
            </m:r>
          </m:sub>
          <m:sup>
            <m:r>
              <w:rPr>
                <w:rFonts w:ascii="Cambria Math" w:hAnsi="Cambria Math"/>
              </w:rPr>
              <m:t>o</m:t>
            </m:r>
          </m:sup>
        </m:sSubSup>
        <m:d>
          <m:dPr>
            <m:ctrlPr>
              <w:rPr>
                <w:rFonts w:ascii="Cambria Math" w:hAnsi="Cambria Math"/>
                <w:i/>
              </w:rPr>
            </m:ctrlPr>
          </m:dPr>
          <m:e>
            <m:r>
              <w:rPr>
                <w:rFonts w:ascii="Cambria Math" w:hAnsi="Cambria Math"/>
              </w:rPr>
              <m:t>ν,T</m:t>
            </m:r>
          </m:e>
        </m:d>
      </m:oMath>
      <w:r w:rsidRPr="005651B3">
        <w:t xml:space="preserve"> having the same temperature and the same absorptivity  </w:t>
      </w:r>
      <m:oMath>
        <m:sSubSup>
          <m:sSubSupPr>
            <m:ctrlPr>
              <w:rPr>
                <w:rFonts w:ascii="Cambria Math" w:hAnsi="Cambria Math"/>
                <w:i/>
              </w:rPr>
            </m:ctrlPr>
          </m:sSubSupPr>
          <m:e>
            <m:r>
              <w:rPr>
                <w:rFonts w:ascii="Cambria Math" w:hAnsi="Cambria Math"/>
              </w:rPr>
              <m:t>a</m:t>
            </m:r>
          </m:e>
          <m:sub>
            <m:r>
              <w:rPr>
                <w:rFonts w:ascii="Cambria Math" w:hAnsi="Cambria Math"/>
              </w:rPr>
              <m:t>ν</m:t>
            </m:r>
          </m:sub>
          <m:sup>
            <m:r>
              <w:rPr>
                <w:rFonts w:ascii="Cambria Math" w:hAnsi="Cambria Math"/>
              </w:rPr>
              <m:t>'</m:t>
            </m:r>
          </m:sup>
        </m:sSubSup>
        <m:r>
          <w:rPr>
            <w:rFonts w:ascii="Cambria Math" w:hAnsi="Cambria Math"/>
          </w:rPr>
          <m:t>(β,φ,ν,T)</m:t>
        </m:r>
      </m:oMath>
      <w:r w:rsidRPr="005651B3">
        <w:t>.  The spectral radiance and absorptivity may also depend on the angle of incident radiation. Thus, according to Kirchhoff’s Radiation Law, the radiant power of any given body is directly proportional to the radiant power of a black body with the same temperature.</w:t>
      </w:r>
    </w:p>
    <w:p w:rsidR="00E90236" w:rsidRPr="005651B3" w:rsidRDefault="00E90236" w:rsidP="00E90236">
      <w:pPr>
        <w:spacing w:after="0" w:line="240" w:lineRule="auto"/>
      </w:pPr>
      <w:r w:rsidRPr="005651B3">
        <w:t>Further, Kirchhoff’s Radiation Law leads to the conclusion that with a given temperature</w:t>
      </w:r>
      <w:r w:rsidR="007A1751">
        <w:t>,</w:t>
      </w:r>
      <w:r w:rsidRPr="005651B3">
        <w:t xml:space="preserve"> a body with good heat absorption also releases heat well.</w:t>
      </w:r>
    </w:p>
    <w:p w:rsidR="00E90236" w:rsidRPr="005651B3" w:rsidRDefault="00E90236" w:rsidP="00E90236">
      <w:pPr>
        <w:pStyle w:val="Heading1"/>
      </w:pPr>
      <w:r w:rsidRPr="005651B3">
        <w:t>Stefan Boltzmann’s Law</w:t>
      </w:r>
    </w:p>
    <w:p w:rsidR="00E90236" w:rsidRPr="005651B3" w:rsidRDefault="00E90236" w:rsidP="00042DDA">
      <w:r w:rsidRPr="005651B3">
        <w:t xml:space="preserve">The Stefan Boltzmann Law describes the emitted power of a black body radiating </w:t>
      </w:r>
      <w:proofErr w:type="spellStart"/>
      <w:r w:rsidRPr="005651B3">
        <w:t>isotropically</w:t>
      </w:r>
      <w:proofErr w:type="spellEnd"/>
      <w:r w:rsidRPr="005651B3">
        <w:t xml:space="preserve"> </w:t>
      </w:r>
      <w:r w:rsidR="0032063D">
        <w:t xml:space="preserve">in </w:t>
      </w:r>
      <w:r w:rsidRPr="005651B3">
        <w:t>all directions. For the total radiation power of a black body</w:t>
      </w:r>
      <w:r w:rsidR="000A78FD">
        <w:t>,</w:t>
      </w:r>
      <w:r w:rsidRPr="005651B3">
        <w:t xml:space="preserve"> the following equation applies: </w:t>
      </w:r>
    </w:p>
    <w:p w:rsidR="00E90236" w:rsidRPr="005651B3" w:rsidRDefault="00E90236" w:rsidP="00042DDA">
      <m:oMathPara>
        <m:oMath>
          <m:r>
            <w:rPr>
              <w:rFonts w:ascii="Cambria Math" w:hAnsi="Cambria Math"/>
            </w:rPr>
            <m:t>P</m:t>
          </m:r>
          <m:r>
            <m:rPr>
              <m:sty m:val="p"/>
            </m:rPr>
            <w:rPr>
              <w:rFonts w:ascii="Cambria Math" w:hAnsi="Cambria Math"/>
            </w:rPr>
            <m:t>=</m:t>
          </m:r>
          <m:r>
            <w:rPr>
              <w:rFonts w:ascii="Cambria Math" w:hAnsi="Cambria Math"/>
            </w:rPr>
            <m:t>σ</m:t>
          </m:r>
          <m:r>
            <m:rPr>
              <m:sty m:val="p"/>
            </m:rPr>
            <w:rPr>
              <w:rFonts w:ascii="Cambria Math" w:hAnsi="Cambria Math"/>
            </w:rPr>
            <m:t>⋅</m:t>
          </m:r>
          <m:r>
            <w:rPr>
              <w:rFonts w:ascii="Cambria Math" w:hAnsi="Cambria Math"/>
            </w:rPr>
            <m:t>A</m:t>
          </m:r>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4</m:t>
              </m:r>
            </m:sup>
          </m:sSup>
        </m:oMath>
      </m:oMathPara>
    </w:p>
    <w:p w:rsidR="00E90236" w:rsidRPr="005651B3" w:rsidRDefault="00E90236" w:rsidP="00042DDA">
      <m:oMath>
        <m:r>
          <w:rPr>
            <w:rFonts w:ascii="Cambria Math" w:hAnsi="Cambria Math"/>
          </w:rPr>
          <m:t>A</m:t>
        </m:r>
      </m:oMath>
      <w:r w:rsidRPr="005651B3">
        <w:t xml:space="preserve"> is the area of the radiating cross section of the body</w:t>
      </w:r>
      <w:r w:rsidR="000A78FD">
        <w:t>,</w:t>
      </w:r>
      <w:r w:rsidRPr="005651B3">
        <w:t xml:space="preserve"> and </w:t>
      </w:r>
      <m:oMath>
        <m:r>
          <w:rPr>
            <w:rFonts w:ascii="Cambria Math" w:hAnsi="Cambria Math"/>
          </w:rPr>
          <m:t>σ</m:t>
        </m:r>
      </m:oMath>
      <w:r w:rsidRPr="005651B3">
        <w:t xml:space="preserve"> is the Stefan Boltzmann constant, a natural constant with the value </w:t>
      </w:r>
      <w:proofErr w:type="gramStart"/>
      <w:r w:rsidRPr="005651B3">
        <w:t>of:</w:t>
      </w:r>
      <w:proofErr w:type="gramEnd"/>
    </w:p>
    <w:p w:rsidR="00E90236" w:rsidRPr="005651B3" w:rsidRDefault="00E90236" w:rsidP="00042DDA">
      <m:oMathPara>
        <m:oMath>
          <m:r>
            <w:rPr>
              <w:rFonts w:ascii="Cambria Math" w:hAnsi="Cambria Math"/>
            </w:rPr>
            <m:t>σ=</m:t>
          </m:r>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π</m:t>
                  </m:r>
                </m:e>
                <m:sup>
                  <m:r>
                    <w:rPr>
                      <w:rFonts w:ascii="Cambria Math" w:hAnsi="Cambria Math"/>
                    </w:rPr>
                    <m:t>5</m:t>
                  </m:r>
                </m:sup>
              </m:sSup>
              <m:sSubSup>
                <m:sSubSupPr>
                  <m:ctrlPr>
                    <w:rPr>
                      <w:rFonts w:ascii="Cambria Math" w:hAnsi="Cambria Math"/>
                      <w:i/>
                    </w:rPr>
                  </m:ctrlPr>
                </m:sSubSupPr>
                <m:e>
                  <m:r>
                    <w:rPr>
                      <w:rFonts w:ascii="Cambria Math" w:hAnsi="Cambria Math"/>
                    </w:rPr>
                    <m:t>k</m:t>
                  </m:r>
                </m:e>
                <m:sub>
                  <m:r>
                    <w:rPr>
                      <w:rFonts w:ascii="Cambria Math" w:hAnsi="Cambria Math"/>
                    </w:rPr>
                    <m:t>B</m:t>
                  </m:r>
                </m:sub>
                <m:sup>
                  <m:r>
                    <w:rPr>
                      <w:rFonts w:ascii="Cambria Math" w:hAnsi="Cambria Math"/>
                    </w:rPr>
                    <m:t>4</m:t>
                  </m:r>
                </m:sup>
              </m:sSubSup>
            </m:num>
            <m:den>
              <m:r>
                <w:rPr>
                  <w:rFonts w:ascii="Cambria Math" w:hAnsi="Cambria Math"/>
                </w:rPr>
                <m:t>15</m:t>
              </m:r>
              <m:sSup>
                <m:sSupPr>
                  <m:ctrlPr>
                    <w:rPr>
                      <w:rFonts w:ascii="Cambria Math" w:hAnsi="Cambria Math"/>
                      <w:i/>
                    </w:rPr>
                  </m:ctrlPr>
                </m:sSupPr>
                <m:e>
                  <m:r>
                    <w:rPr>
                      <w:rFonts w:ascii="Cambria Math" w:hAnsi="Cambria Math"/>
                    </w:rPr>
                    <m:t>h</m:t>
                  </m:r>
                </m:e>
                <m:sup>
                  <m:r>
                    <w:rPr>
                      <w:rFonts w:ascii="Cambria Math" w:hAnsi="Cambria Math"/>
                    </w:rPr>
                    <m:t>3</m:t>
                  </m:r>
                </m:sup>
              </m:sSup>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m:t>
          </m:r>
          <m:d>
            <m:dPr>
              <m:ctrlPr>
                <w:rPr>
                  <w:rFonts w:ascii="Cambria Math" w:hAnsi="Cambria Math"/>
                  <w:i/>
                </w:rPr>
              </m:ctrlPr>
            </m:dPr>
            <m:e>
              <m:r>
                <w:rPr>
                  <w:rFonts w:ascii="Cambria Math" w:hAnsi="Cambria Math"/>
                </w:rPr>
                <m:t>5,670 367±0,000 013</m:t>
              </m:r>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-8</m:t>
              </m:r>
            </m:sup>
          </m:sSup>
          <m:f>
            <m:fPr>
              <m:ctrlPr>
                <w:rPr>
                  <w:rFonts w:ascii="Cambria Math" w:hAnsi="Cambria Math"/>
                </w:rPr>
              </m:ctrlPr>
            </m:fPr>
            <m:num>
              <m:r>
                <m:rPr>
                  <m:sty m:val="p"/>
                </m:rPr>
                <w:rPr>
                  <w:rFonts w:ascii="Cambria Math" w:hAnsi="Cambria Math"/>
                </w:rPr>
                <m:t>W</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K</m:t>
                  </m:r>
                </m:e>
                <m:sup>
                  <m:r>
                    <m:rPr>
                      <m:sty m:val="p"/>
                    </m:rPr>
                    <w:rPr>
                      <w:rFonts w:ascii="Cambria Math" w:hAnsi="Cambria Math"/>
                    </w:rPr>
                    <m:t>4</m:t>
                  </m:r>
                </m:sup>
              </m:sSup>
            </m:den>
          </m:f>
        </m:oMath>
      </m:oMathPara>
    </w:p>
    <w:p w:rsidR="00E90236" w:rsidRPr="005651B3" w:rsidRDefault="00E90236" w:rsidP="00042DDA">
      <w:r w:rsidRPr="005651B3">
        <w:t>Together with Kirchhoff’s Radiation Law</w:t>
      </w:r>
      <w:r w:rsidR="00C72591">
        <w:t>,</w:t>
      </w:r>
      <w:r w:rsidRPr="005651B3">
        <w:t xml:space="preserve"> the Stefan Boltzmann Radiation Law for any given body results </w:t>
      </w:r>
      <w:r w:rsidR="003065EA">
        <w:t>in</w:t>
      </w:r>
    </w:p>
    <w:p w:rsidR="00E90236" w:rsidRPr="005651B3" w:rsidRDefault="00E90236" w:rsidP="00042DDA">
      <m:oMathPara>
        <m:oMath>
          <m:r>
            <w:rPr>
              <w:rFonts w:ascii="Cambria Math" w:hAnsi="Cambria Math"/>
            </w:rPr>
            <m:t>P=ε</m:t>
          </m:r>
          <m:d>
            <m:dPr>
              <m:ctrlPr>
                <w:rPr>
                  <w:rFonts w:ascii="Cambria Math" w:hAnsi="Cambria Math"/>
                  <w:i/>
                </w:rPr>
              </m:ctrlPr>
            </m:dPr>
            <m:e>
              <m:r>
                <w:rPr>
                  <w:rFonts w:ascii="Cambria Math" w:hAnsi="Cambria Math"/>
                </w:rPr>
                <m:t>T</m:t>
              </m:r>
            </m:e>
          </m:d>
          <m:r>
            <w:rPr>
              <w:rFonts w:ascii="Cambria Math" w:hAnsi="Cambria Math"/>
            </w:rPr>
            <m:t>⋅σ⋅A⋅</m:t>
          </m:r>
          <m:sSup>
            <m:sSupPr>
              <m:ctrlPr>
                <w:rPr>
                  <w:rFonts w:ascii="Cambria Math" w:hAnsi="Cambria Math"/>
                  <w:i/>
                </w:rPr>
              </m:ctrlPr>
            </m:sSupPr>
            <m:e>
              <m:r>
                <w:rPr>
                  <w:rFonts w:ascii="Cambria Math" w:hAnsi="Cambria Math"/>
                </w:rPr>
                <m:t>T</m:t>
              </m:r>
            </m:e>
            <m:sup>
              <m:r>
                <w:rPr>
                  <w:rFonts w:ascii="Cambria Math" w:hAnsi="Cambria Math"/>
                </w:rPr>
                <m:t>4</m:t>
              </m:r>
            </m:sup>
          </m:sSup>
        </m:oMath>
      </m:oMathPara>
    </w:p>
    <w:p w:rsidR="00E90236" w:rsidRPr="005651B3" w:rsidRDefault="00E90236" w:rsidP="00042DDA">
      <w:r w:rsidRPr="005651B3">
        <w:t xml:space="preserve">with a temperature dependent emissivity  </w:t>
      </w:r>
      <m:oMath>
        <m:r>
          <w:rPr>
            <w:rFonts w:ascii="Cambria Math" w:hAnsi="Cambria Math"/>
          </w:rPr>
          <m:t>ε(T)</m:t>
        </m:r>
      </m:oMath>
      <w:r w:rsidRPr="005651B3">
        <w:t>.</w:t>
      </w:r>
    </w:p>
    <w:p w:rsidR="00E90236" w:rsidRPr="005651B3" w:rsidRDefault="007B6C64" w:rsidP="00042DDA">
      <w:r>
        <w:lastRenderedPageBreak/>
        <w:t>E</w:t>
      </w:r>
      <w:r w:rsidR="00E90236" w:rsidRPr="005651B3">
        <w:t>missivity is a parameter that reflects the properties of the radiating substance and surface. For a given temperature, surfaces with different emissivity appear differently bright. As a result, the thermic radiation is also stronger.</w:t>
      </w:r>
    </w:p>
    <w:p w:rsidR="00E90236" w:rsidRPr="005651B3" w:rsidRDefault="00E90236" w:rsidP="00E90236">
      <w:pPr>
        <w:keepNext/>
        <w:spacing w:after="0" w:line="240" w:lineRule="auto"/>
        <w:jc w:val="center"/>
      </w:pPr>
      <w:r w:rsidRPr="005651B3">
        <w:rPr>
          <w:noProof/>
          <w:lang w:val="en-IN" w:eastAsia="en-IN"/>
        </w:rPr>
        <w:drawing>
          <wp:inline distT="0" distB="0" distL="0" distR="0" wp14:anchorId="1C2A1DA3" wp14:editId="16BFAC51">
            <wp:extent cx="3600000" cy="2797134"/>
            <wp:effectExtent l="0" t="0" r="63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liesCube.png"/>
                    <pic:cNvPicPr/>
                  </pic:nvPicPr>
                  <pic:blipFill>
                    <a:blip r:embed="rId8">
                      <a:extLst>
                        <a:ext uri="{28A0092B-C50C-407E-A947-70E740481C1C}">
                          <a14:useLocalDpi xmlns:a14="http://schemas.microsoft.com/office/drawing/2010/main" val="0"/>
                        </a:ext>
                      </a:extLst>
                    </a:blip>
                    <a:stretch>
                      <a:fillRect/>
                    </a:stretch>
                  </pic:blipFill>
                  <pic:spPr>
                    <a:xfrm>
                      <a:off x="0" y="0"/>
                      <a:ext cx="3600000" cy="2797134"/>
                    </a:xfrm>
                    <a:prstGeom prst="rect">
                      <a:avLst/>
                    </a:prstGeom>
                  </pic:spPr>
                </pic:pic>
              </a:graphicData>
            </a:graphic>
          </wp:inline>
        </w:drawing>
      </w:r>
    </w:p>
    <w:p w:rsidR="00E90236" w:rsidRDefault="00E90236" w:rsidP="00E90236">
      <w:pPr>
        <w:pStyle w:val="Caption"/>
        <w:spacing w:after="0"/>
        <w:jc w:val="both"/>
      </w:pPr>
      <w:r w:rsidRPr="005651B3">
        <w:t xml:space="preserve">Figure </w:t>
      </w:r>
      <w:r w:rsidRPr="005651B3">
        <w:fldChar w:fldCharType="begin"/>
      </w:r>
      <w:r w:rsidRPr="005651B3">
        <w:instrText xml:space="preserve"> SEQ Figure \* ARABIC </w:instrText>
      </w:r>
      <w:r w:rsidRPr="005651B3">
        <w:fldChar w:fldCharType="separate"/>
      </w:r>
      <w:r w:rsidR="009A38C7">
        <w:rPr>
          <w:noProof/>
        </w:rPr>
        <w:t>1</w:t>
      </w:r>
      <w:r w:rsidRPr="005651B3">
        <w:fldChar w:fldCharType="end"/>
      </w:r>
      <w:r w:rsidRPr="005651B3">
        <w:t xml:space="preserve">: Photographs of Leslie's cube. The colour photographs are taken using an infrared camera; the black and white photographs underneath </w:t>
      </w:r>
      <w:proofErr w:type="gramStart"/>
      <w:r w:rsidRPr="005651B3">
        <w:t>are</w:t>
      </w:r>
      <w:proofErr w:type="gramEnd"/>
      <w:r w:rsidRPr="005651B3">
        <w:t xml:space="preserve"> taken with an ordinary camera. All faces of the cube are at the same temperature of about 55 °C. The face of the cube that has been painted has a large emissivity, which is indicated by the reddish colour in the infrared photograph. The polished face of the aluminium cube has a low emissivity indicated by the blue colour, and the reflected image of the warm hand is clear (Pieter Kuiper, </w:t>
      </w:r>
      <w:hyperlink r:id="rId9" w:history="1">
        <w:r w:rsidRPr="005651B3">
          <w:rPr>
            <w:rStyle w:val="Hyperlink"/>
          </w:rPr>
          <w:t>https://commons.wikimedia.org/wiki/</w:t>
        </w:r>
        <w:r w:rsidRPr="005651B3">
          <w:rPr>
            <w:rStyle w:val="Hyperlink"/>
          </w:rPr>
          <w:br/>
          <w:t>File:LesliesCube.png</w:t>
        </w:r>
      </w:hyperlink>
      <w:r w:rsidRPr="005651B3">
        <w:t>, public domain).</w:t>
      </w:r>
    </w:p>
    <w:p w:rsidR="00A52414" w:rsidRPr="008F1A09" w:rsidRDefault="00A52414" w:rsidP="00A52414">
      <w:pPr>
        <w:pStyle w:val="Heading1"/>
      </w:pPr>
      <w:r w:rsidRPr="008F1A09">
        <w:t>Heat capacity</w:t>
      </w:r>
    </w:p>
    <w:p w:rsidR="00A52414" w:rsidRPr="008F1A09" w:rsidRDefault="00A52414" w:rsidP="00A52414">
      <w:r w:rsidRPr="008F1A09">
        <w:t xml:space="preserve">If heat </w:t>
      </w:r>
      <m:oMath>
        <m:r>
          <w:rPr>
            <w:rFonts w:ascii="Cambria Math" w:hAnsi="Cambria Math"/>
          </w:rPr>
          <m:t>Q</m:t>
        </m:r>
      </m:oMath>
      <w:r w:rsidRPr="008F1A09">
        <w:t xml:space="preserve"> is added to liquids (or other material in general), their temperature </w:t>
      </w:r>
      <m:oMath>
        <m:r>
          <w:rPr>
            <w:rFonts w:ascii="Cambria Math" w:hAnsi="Cambria Math"/>
          </w:rPr>
          <m:t>T</m:t>
        </m:r>
      </m:oMath>
      <w:r w:rsidRPr="008F1A09">
        <w:t xml:space="preserve"> rises. Both increases (</w:t>
      </w:r>
      <m:oMath>
        <m:r>
          <m:rPr>
            <m:sty m:val="p"/>
          </m:rPr>
          <w:rPr>
            <w:rFonts w:ascii="Cambria Math" w:hAnsi="Cambria Math"/>
          </w:rPr>
          <m:t>Δ</m:t>
        </m:r>
        <m:r>
          <w:rPr>
            <w:rFonts w:ascii="Cambria Math" w:hAnsi="Cambria Math"/>
          </w:rPr>
          <m:t>Q</m:t>
        </m:r>
      </m:oMath>
      <w:r w:rsidRPr="008F1A09">
        <w:t xml:space="preserve">, </w:t>
      </w:r>
      <m:oMath>
        <m:r>
          <m:rPr>
            <m:sty m:val="p"/>
          </m:rPr>
          <w:rPr>
            <w:rFonts w:ascii="Cambria Math" w:hAnsi="Cambria Math"/>
          </w:rPr>
          <m:t>Δ</m:t>
        </m:r>
        <m:r>
          <w:rPr>
            <w:rFonts w:ascii="Cambria Math" w:hAnsi="Cambria Math"/>
          </w:rPr>
          <m:t>T</m:t>
        </m:r>
      </m:oMath>
      <w:r w:rsidRPr="008F1A09">
        <w:t>) are directly proportional to each other.</w:t>
      </w:r>
    </w:p>
    <w:p w:rsidR="00A52414" w:rsidRPr="008F1A09" w:rsidRDefault="00A52414" w:rsidP="00A52414">
      <m:oMathPara>
        <m:oMathParaPr>
          <m:jc m:val="center"/>
        </m:oMathParaPr>
        <m:oMath>
          <m:r>
            <m:rPr>
              <m:sty m:val="p"/>
            </m:rPr>
            <w:rPr>
              <w:rFonts w:ascii="Cambria Math" w:hAnsi="Cambria Math"/>
            </w:rPr>
            <m:t>Δ</m:t>
          </m:r>
          <m:r>
            <w:rPr>
              <w:rFonts w:ascii="Cambria Math" w:hAnsi="Cambria Math"/>
            </w:rPr>
            <m:t>Q∝</m:t>
          </m:r>
          <m:r>
            <m:rPr>
              <m:sty m:val="p"/>
            </m:rPr>
            <w:rPr>
              <w:rFonts w:ascii="Cambria Math" w:hAnsi="Cambria Math"/>
            </w:rPr>
            <m:t>Δ</m:t>
          </m:r>
          <m:r>
            <w:rPr>
              <w:rFonts w:ascii="Cambria Math" w:hAnsi="Cambria Math"/>
            </w:rPr>
            <m:t>T</m:t>
          </m:r>
        </m:oMath>
      </m:oMathPara>
    </w:p>
    <w:p w:rsidR="00A52414" w:rsidRPr="008F1A09" w:rsidRDefault="00A52414" w:rsidP="00A52414">
      <w:pPr>
        <w:pStyle w:val="Heading2"/>
      </w:pPr>
      <w:r w:rsidRPr="008F1A09">
        <w:t>Thought experiment</w:t>
      </w:r>
    </w:p>
    <w:p w:rsidR="00A52414" w:rsidRPr="008F1A09" w:rsidRDefault="00A52414" w:rsidP="00A52414">
      <w:r w:rsidRPr="008F1A09">
        <w:t xml:space="preserve">An immersion heater with the radiative power </w:t>
      </w:r>
      <m:oMath>
        <m:r>
          <w:rPr>
            <w:rFonts w:ascii="Cambria Math" w:hAnsi="Cambria Math"/>
          </w:rPr>
          <m:t>P</m:t>
        </m:r>
      </m:oMath>
      <w:r w:rsidRPr="008F1A09">
        <w:t xml:space="preserve"> will add energy to the liquid within a certain </w:t>
      </w:r>
      <w:proofErr w:type="gramStart"/>
      <w:r w:rsidRPr="008F1A09">
        <w:t>period of time</w:t>
      </w:r>
      <w:proofErr w:type="gramEnd"/>
      <w:r w:rsidRPr="008F1A09">
        <w:t xml:space="preserve"> </w:t>
      </w:r>
      <m:oMath>
        <m:r>
          <m:rPr>
            <m:sty m:val="p"/>
          </m:rPr>
          <w:rPr>
            <w:rFonts w:ascii="Cambria Math" w:hAnsi="Cambria Math"/>
          </w:rPr>
          <m:t>Δ</m:t>
        </m:r>
        <m:r>
          <w:rPr>
            <w:rFonts w:ascii="Cambria Math" w:hAnsi="Cambria Math"/>
          </w:rPr>
          <m:t>t</m:t>
        </m:r>
      </m:oMath>
      <w:r w:rsidRPr="008F1A09">
        <w:t xml:space="preserve"> according to: </w:t>
      </w:r>
    </w:p>
    <w:p w:rsidR="00A52414" w:rsidRPr="008F1A09" w:rsidRDefault="00A52414" w:rsidP="00A52414">
      <w:pPr>
        <w:rPr>
          <w:i/>
        </w:rPr>
      </w:pPr>
      <m:oMathPara>
        <m:oMath>
          <m:r>
            <m:rPr>
              <m:sty m:val="p"/>
            </m:rPr>
            <w:rPr>
              <w:rFonts w:ascii="Cambria Math" w:hAnsi="Cambria Math"/>
            </w:rPr>
            <m:t>Δ</m:t>
          </m:r>
          <m:r>
            <w:rPr>
              <w:rFonts w:ascii="Cambria Math" w:hAnsi="Cambria Math"/>
            </w:rPr>
            <m:t>Q=κ⋅P⋅</m:t>
          </m:r>
          <m:r>
            <m:rPr>
              <m:sty m:val="p"/>
            </m:rPr>
            <w:rPr>
              <w:rFonts w:ascii="Cambria Math" w:hAnsi="Cambria Math"/>
            </w:rPr>
            <m:t>Δ</m:t>
          </m:r>
          <m:r>
            <w:rPr>
              <w:rFonts w:ascii="Cambria Math" w:hAnsi="Cambria Math"/>
            </w:rPr>
            <m:t>t</m:t>
          </m:r>
        </m:oMath>
      </m:oMathPara>
    </w:p>
    <w:p w:rsidR="00A52414" w:rsidRPr="008F1A09" w:rsidRDefault="00A52414" w:rsidP="00A52414">
      <w:r w:rsidRPr="008F1A09">
        <w:t>In this case</w:t>
      </w:r>
      <w:r w:rsidR="007B6C64">
        <w:t>,</w:t>
      </w:r>
      <w:r w:rsidRPr="008F1A09">
        <w:t xml:space="preserve"> </w:t>
      </w:r>
      <m:oMath>
        <m:r>
          <w:rPr>
            <w:rFonts w:ascii="Cambria Math" w:hAnsi="Cambria Math"/>
          </w:rPr>
          <m:t>κ</m:t>
        </m:r>
      </m:oMath>
      <w:r w:rsidRPr="008F1A09">
        <w:t xml:space="preserve"> is a dimensionless quantity with </w:t>
      </w:r>
      <m:oMath>
        <m:r>
          <w:rPr>
            <w:rFonts w:ascii="Cambria Math" w:hAnsi="Cambria Math"/>
          </w:rPr>
          <m:t>κ</m:t>
        </m:r>
        <m:r>
          <m:rPr>
            <m:sty m:val="p"/>
          </m:rPr>
          <w:rPr>
            <w:rFonts w:ascii="Cambria Math" w:hAnsi="Cambria Math"/>
          </w:rPr>
          <m:t>∈[0;1]</m:t>
        </m:r>
      </m:oMath>
      <w:r w:rsidRPr="008F1A09">
        <w:t>, corresponding to the percentage of the energy transformed and absorbed by the liquid.</w:t>
      </w:r>
    </w:p>
    <w:p w:rsidR="00A52414" w:rsidRPr="008F1A09" w:rsidRDefault="00A52414" w:rsidP="00A52414">
      <w:pPr>
        <w:rPr>
          <w:i/>
        </w:rPr>
      </w:pPr>
      <m:oMathPara>
        <m:oMath>
          <m:r>
            <m:rPr>
              <m:sty m:val="p"/>
            </m:rPr>
            <w:rPr>
              <w:rFonts w:ascii="Cambria Math" w:hAnsi="Cambria Math"/>
            </w:rPr>
            <m:t>Δ</m:t>
          </m:r>
          <m:r>
            <w:rPr>
              <w:rFonts w:ascii="Cambria Math" w:hAnsi="Cambria Math"/>
            </w:rPr>
            <m:t>Q∝P⋅</m:t>
          </m:r>
          <m:r>
            <m:rPr>
              <m:sty m:val="p"/>
            </m:rPr>
            <w:rPr>
              <w:rFonts w:ascii="Cambria Math" w:hAnsi="Cambria Math"/>
            </w:rPr>
            <m:t>Δ</m:t>
          </m:r>
          <m:r>
            <w:rPr>
              <w:rFonts w:ascii="Cambria Math" w:hAnsi="Cambria Math"/>
            </w:rPr>
            <m:t>t</m:t>
          </m:r>
        </m:oMath>
      </m:oMathPara>
    </w:p>
    <w:p w:rsidR="00A52414" w:rsidRPr="008F1A09" w:rsidRDefault="00A52414" w:rsidP="00A52414">
      <w:r w:rsidRPr="008F1A09">
        <w:t xml:space="preserve">means that the energy needed by the immersion heater is directly proportional to the temperature change </w:t>
      </w:r>
      <m:oMath>
        <m:r>
          <m:rPr>
            <m:sty m:val="p"/>
          </m:rPr>
          <w:rPr>
            <w:rFonts w:ascii="Cambria Math" w:hAnsi="Cambria Math"/>
          </w:rPr>
          <m:t>Δ</m:t>
        </m:r>
        <m:r>
          <w:rPr>
            <w:rFonts w:ascii="Cambria Math" w:hAnsi="Cambria Math"/>
          </w:rPr>
          <m:t>T</m:t>
        </m:r>
      </m:oMath>
      <w:r w:rsidRPr="008F1A09">
        <w:t>.</w:t>
      </w:r>
    </w:p>
    <w:p w:rsidR="00A52414" w:rsidRPr="008F1A09" w:rsidRDefault="00A52414" w:rsidP="00A52414">
      <w:pPr>
        <w:rPr>
          <w:i/>
        </w:rPr>
      </w:pPr>
      <w:r w:rsidRPr="008F1A09">
        <w:rPr>
          <w:i/>
        </w:rPr>
        <w:t>Remark: This experiment also works with a water filled paper cup, positioned over the flame of a Bunsen burner.</w:t>
      </w:r>
    </w:p>
    <w:p w:rsidR="00A52414" w:rsidRPr="008F1A09" w:rsidRDefault="00A52414" w:rsidP="00A52414">
      <w:r w:rsidRPr="008F1A09">
        <w:lastRenderedPageBreak/>
        <w:t xml:space="preserve">If you double the amount of liquid with </w:t>
      </w:r>
      <m:oMath>
        <m:r>
          <w:rPr>
            <w:rFonts w:ascii="Cambria Math" w:hAnsi="Cambria Math"/>
          </w:rPr>
          <m:t>m</m:t>
        </m:r>
      </m:oMath>
      <w:r w:rsidRPr="008F1A09">
        <w:t xml:space="preserve"> being the mass, you find the following correlation:</w:t>
      </w:r>
    </w:p>
    <w:p w:rsidR="00A52414" w:rsidRPr="008F1A09" w:rsidRDefault="00A52414" w:rsidP="00A52414">
      <m:oMathPara>
        <m:oMath>
          <m:r>
            <m:rPr>
              <m:sty m:val="p"/>
            </m:rPr>
            <w:rPr>
              <w:rFonts w:ascii="Cambria Math" w:hAnsi="Cambria Math"/>
            </w:rPr>
            <m:t>Δ</m:t>
          </m:r>
          <m:r>
            <w:rPr>
              <w:rFonts w:ascii="Cambria Math" w:hAnsi="Cambria Math"/>
            </w:rPr>
            <m:t>Q∝m</m:t>
          </m:r>
        </m:oMath>
      </m:oMathPara>
    </w:p>
    <w:p w:rsidR="00A52414" w:rsidRPr="008F1A09" w:rsidRDefault="00A52414" w:rsidP="00A52414">
      <w:r w:rsidRPr="008F1A09">
        <w:t>In summary, the following is valid</w:t>
      </w:r>
    </w:p>
    <w:p w:rsidR="00A52414" w:rsidRPr="008F1A09" w:rsidRDefault="00A52414" w:rsidP="00A52414">
      <m:oMathPara>
        <m:oMath>
          <m:r>
            <m:rPr>
              <m:sty m:val="p"/>
            </m:rPr>
            <w:rPr>
              <w:rFonts w:ascii="Cambria Math" w:hAnsi="Cambria Math"/>
            </w:rPr>
            <m:t>Δ</m:t>
          </m:r>
          <m:r>
            <w:rPr>
              <w:rFonts w:ascii="Cambria Math" w:hAnsi="Cambria Math"/>
            </w:rPr>
            <m:t>Q∝m⋅</m:t>
          </m:r>
          <m:r>
            <m:rPr>
              <m:sty m:val="p"/>
            </m:rPr>
            <w:rPr>
              <w:rFonts w:ascii="Cambria Math" w:hAnsi="Cambria Math"/>
            </w:rPr>
            <m:t>Δ</m:t>
          </m:r>
          <m:r>
            <w:rPr>
              <w:rFonts w:ascii="Cambria Math" w:hAnsi="Cambria Math"/>
            </w:rPr>
            <m:t>T</m:t>
          </m:r>
        </m:oMath>
      </m:oMathPara>
    </w:p>
    <w:p w:rsidR="00A52414" w:rsidRPr="008F1A09" w:rsidRDefault="00A52414" w:rsidP="00A52414">
      <w:r w:rsidRPr="008F1A09">
        <w:t>with a proportionality constant</w:t>
      </w:r>
    </w:p>
    <w:p w:rsidR="00A52414" w:rsidRPr="008F1A09" w:rsidRDefault="00A52414" w:rsidP="00A52414">
      <m:oMathPara>
        <m:oMathParaPr>
          <m:jc m:val="center"/>
        </m:oMathParaPr>
        <m:oMath>
          <m:r>
            <w:rPr>
              <w:rFonts w:ascii="Cambria Math" w:hAnsi="Cambria Math"/>
            </w:rPr>
            <m:t>c=</m:t>
          </m:r>
          <m:f>
            <m:fPr>
              <m:ctrlPr>
                <w:rPr>
                  <w:rFonts w:ascii="Cambria Math" w:hAnsi="Cambria Math"/>
                  <w:i/>
                </w:rPr>
              </m:ctrlPr>
            </m:fPr>
            <m:num>
              <m:r>
                <m:rPr>
                  <m:sty m:val="p"/>
                </m:rPr>
                <w:rPr>
                  <w:rFonts w:ascii="Cambria Math" w:hAnsi="Cambria Math"/>
                </w:rPr>
                <m:t>Δ</m:t>
              </m:r>
              <m:r>
                <w:rPr>
                  <w:rFonts w:ascii="Cambria Math" w:hAnsi="Cambria Math"/>
                </w:rPr>
                <m:t>Q</m:t>
              </m:r>
            </m:num>
            <m:den>
              <m:r>
                <w:rPr>
                  <w:rFonts w:ascii="Cambria Math" w:hAnsi="Cambria Math"/>
                </w:rPr>
                <m:t>m⋅</m:t>
              </m:r>
              <m:r>
                <m:rPr>
                  <m:sty m:val="p"/>
                </m:rPr>
                <w:rPr>
                  <w:rFonts w:ascii="Cambria Math" w:hAnsi="Cambria Math"/>
                </w:rPr>
                <m:t>Δ</m:t>
              </m:r>
              <m:r>
                <w:rPr>
                  <w:rFonts w:ascii="Cambria Math" w:hAnsi="Cambria Math"/>
                </w:rPr>
                <m:t>T</m:t>
              </m:r>
            </m:den>
          </m:f>
        </m:oMath>
      </m:oMathPara>
    </w:p>
    <w:p w:rsidR="00A52414" w:rsidRPr="008F1A09" w:rsidRDefault="00A52414" w:rsidP="00A52414">
      <w:r w:rsidRPr="008F1A09">
        <w:t xml:space="preserve">The quantity </w:t>
      </w:r>
      <m:oMath>
        <m:r>
          <w:rPr>
            <w:rFonts w:ascii="Cambria Math" w:hAnsi="Cambria Math"/>
          </w:rPr>
          <m:t>c</m:t>
        </m:r>
      </m:oMath>
      <w:r w:rsidRPr="008F1A09">
        <w:t xml:space="preserve"> is called </w:t>
      </w:r>
      <w:r w:rsidR="007B6C64">
        <w:t xml:space="preserve">the </w:t>
      </w:r>
      <w:r w:rsidRPr="008F1A09">
        <w:t>specific heat capacity. It depends on the material. The dependence on the temperature is neglected in this example. The unit of the specific heat capacity is:</w:t>
      </w:r>
    </w:p>
    <w:p w:rsidR="00A52414" w:rsidRPr="008F1A09" w:rsidRDefault="008B76DC" w:rsidP="00A52414">
      <m:oMathPara>
        <m:oMath>
          <m:d>
            <m:dPr>
              <m:begChr m:val="["/>
              <m:endChr m:val="]"/>
              <m:ctrlPr>
                <w:rPr>
                  <w:rFonts w:ascii="Cambria Math" w:hAnsi="Cambria Math"/>
                  <w:i/>
                </w:rPr>
              </m:ctrlPr>
            </m:dPr>
            <m:e>
              <m:r>
                <w:rPr>
                  <w:rFonts w:ascii="Cambria Math" w:hAnsi="Cambria Math"/>
                </w:rPr>
                <m:t>c</m:t>
              </m:r>
            </m:e>
          </m:d>
          <m:r>
            <w:rPr>
              <w:rFonts w:ascii="Cambria Math" w:hAnsi="Cambria Math"/>
            </w:rPr>
            <m:t>=1</m:t>
          </m:r>
          <m:f>
            <m:fPr>
              <m:ctrlPr>
                <w:rPr>
                  <w:rFonts w:ascii="Cambria Math" w:hAnsi="Cambria Math"/>
                </w:rPr>
              </m:ctrlPr>
            </m:fPr>
            <m:num>
              <m:r>
                <m:rPr>
                  <m:sty m:val="p"/>
                </m:rPr>
                <w:rPr>
                  <w:rFonts w:ascii="Cambria Math" w:hAnsi="Cambria Math"/>
                </w:rPr>
                <m:t>J</m:t>
              </m:r>
            </m:num>
            <m:den>
              <m:r>
                <m:rPr>
                  <m:sty m:val="p"/>
                </m:rPr>
                <w:rPr>
                  <w:rFonts w:ascii="Cambria Math" w:hAnsi="Cambria Math"/>
                </w:rPr>
                <m:t>kg⋅K</m:t>
              </m:r>
            </m:den>
          </m:f>
        </m:oMath>
      </m:oMathPara>
    </w:p>
    <w:p w:rsidR="00A52414" w:rsidRPr="008F1A09" w:rsidRDefault="00A52414" w:rsidP="00A52414">
      <w:r w:rsidRPr="008F1A09">
        <w:t>It is commonly listed in units of:</w:t>
      </w:r>
    </w:p>
    <w:p w:rsidR="00A52414" w:rsidRPr="008F1A09" w:rsidRDefault="00A52414" w:rsidP="00A52414">
      <m:oMathPara>
        <m:oMath>
          <m:r>
            <w:rPr>
              <w:rFonts w:ascii="Cambria Math" w:hAnsi="Cambria Math"/>
            </w:rPr>
            <m:t>1</m:t>
          </m:r>
          <m:f>
            <m:fPr>
              <m:ctrlPr>
                <w:rPr>
                  <w:rFonts w:ascii="Cambria Math" w:hAnsi="Cambria Math"/>
                </w:rPr>
              </m:ctrlPr>
            </m:fPr>
            <m:num>
              <m:r>
                <m:rPr>
                  <m:sty m:val="p"/>
                </m:rPr>
                <w:rPr>
                  <w:rFonts w:ascii="Cambria Math" w:hAnsi="Cambria Math"/>
                </w:rPr>
                <m:t>kJ</m:t>
              </m:r>
            </m:num>
            <m:den>
              <m:r>
                <m:rPr>
                  <m:sty m:val="p"/>
                </m:rPr>
                <w:rPr>
                  <w:rFonts w:ascii="Cambria Math" w:hAnsi="Cambria Math"/>
                </w:rPr>
                <m:t>kg⋅K</m:t>
              </m:r>
            </m:den>
          </m:f>
          <m:r>
            <w:rPr>
              <w:rFonts w:ascii="Cambria Math" w:hAnsi="Cambria Math"/>
            </w:rPr>
            <m:t>=1</m:t>
          </m:r>
          <m:f>
            <m:fPr>
              <m:ctrlPr>
                <w:rPr>
                  <w:rFonts w:ascii="Cambria Math" w:hAnsi="Cambria Math"/>
                </w:rPr>
              </m:ctrlPr>
            </m:fPr>
            <m:num>
              <m:r>
                <m:rPr>
                  <m:sty m:val="p"/>
                </m:rPr>
                <w:rPr>
                  <w:rFonts w:ascii="Cambria Math" w:hAnsi="Cambria Math"/>
                </w:rPr>
                <m:t>J</m:t>
              </m:r>
            </m:num>
            <m:den>
              <m:r>
                <m:rPr>
                  <m:sty m:val="p"/>
                </m:rPr>
                <w:rPr>
                  <w:rFonts w:ascii="Cambria Math" w:hAnsi="Cambria Math"/>
                </w:rPr>
                <m:t>g⋅K</m:t>
              </m:r>
            </m:den>
          </m:f>
        </m:oMath>
      </m:oMathPara>
    </w:p>
    <w:p w:rsidR="00A52414" w:rsidRPr="008F1A09" w:rsidRDefault="00A52414" w:rsidP="00A52414">
      <w:r w:rsidRPr="008F1A09">
        <w:t xml:space="preserve">With a value of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W</m:t>
            </m:r>
          </m:sub>
        </m:sSub>
        <m:r>
          <m:rPr>
            <m:sty m:val="p"/>
          </m:rPr>
          <w:rPr>
            <w:rFonts w:ascii="Cambria Math" w:hAnsi="Cambria Math"/>
          </w:rPr>
          <m:t>=4.182</m:t>
        </m:r>
        <m:f>
          <m:fPr>
            <m:ctrlPr>
              <w:rPr>
                <w:rFonts w:ascii="Cambria Math" w:hAnsi="Cambria Math"/>
              </w:rPr>
            </m:ctrlPr>
          </m:fPr>
          <m:num>
            <m:r>
              <m:rPr>
                <m:sty m:val="p"/>
              </m:rPr>
              <w:rPr>
                <w:rFonts w:ascii="Cambria Math" w:hAnsi="Cambria Math"/>
              </w:rPr>
              <m:t>kJ</m:t>
            </m:r>
          </m:num>
          <m:den>
            <m:r>
              <m:rPr>
                <m:sty m:val="p"/>
              </m:rPr>
              <w:rPr>
                <w:rFonts w:ascii="Cambria Math" w:hAnsi="Cambria Math"/>
              </w:rPr>
              <m:t>kg⋅K</m:t>
            </m:r>
          </m:den>
        </m:f>
      </m:oMath>
      <w:r>
        <w:t>,</w:t>
      </w:r>
      <w:r w:rsidRPr="008F1A09">
        <w:t xml:space="preserve"> water has a high specific heat capacity and thus is an excellent heat reservoir due to its simple and </w:t>
      </w:r>
      <w:proofErr w:type="gramStart"/>
      <w:r w:rsidRPr="008F1A09">
        <w:t>low priced</w:t>
      </w:r>
      <w:proofErr w:type="gramEnd"/>
      <w:r w:rsidRPr="008F1A09">
        <w:t xml:space="preserve"> availability.</w:t>
      </w:r>
    </w:p>
    <w:p w:rsidR="00A52414" w:rsidRPr="008F1A09" w:rsidRDefault="00A52414" w:rsidP="00A52414">
      <w:pPr>
        <w:pStyle w:val="Heading1"/>
      </w:pPr>
      <w:r w:rsidRPr="008F1A09">
        <w:t>Cooling process of materials</w:t>
      </w:r>
    </w:p>
    <w:p w:rsidR="00A52414" w:rsidRPr="008F1A09" w:rsidRDefault="00A52414" w:rsidP="00A52414">
      <w:r w:rsidRPr="008F1A09">
        <w:t xml:space="preserve">The cooling process of a given body with the temperature </w:t>
      </w:r>
      <m:oMath>
        <m:r>
          <w:rPr>
            <w:rFonts w:ascii="Cambria Math" w:hAnsi="Cambria Math"/>
          </w:rPr>
          <m:t>T(t)</m:t>
        </m:r>
      </m:oMath>
      <w:r w:rsidRPr="008F1A09">
        <w:t xml:space="preserve"> and an environmental temperature </w:t>
      </w:r>
      <m:oMath>
        <m:r>
          <w:rPr>
            <w:rFonts w:ascii="Cambria Math" w:hAnsi="Cambria Math"/>
          </w:rPr>
          <m:t>U(t)</m:t>
        </m:r>
      </m:oMath>
      <w:r w:rsidRPr="008F1A09">
        <w:t xml:space="preserve"> can be described with the following differential equation</w:t>
      </w:r>
      <w:r w:rsidR="000A2FE6">
        <w:t>:</w:t>
      </w:r>
    </w:p>
    <w:p w:rsidR="00A52414" w:rsidRPr="008F1A09" w:rsidRDefault="008B76DC" w:rsidP="00A52414">
      <m:oMathPara>
        <m:oMath>
          <m:f>
            <m:fPr>
              <m:ctrlPr>
                <w:rPr>
                  <w:rFonts w:ascii="Cambria Math" w:hAnsi="Cambria Math"/>
                  <w:i/>
                </w:rPr>
              </m:ctrlPr>
            </m:fPr>
            <m:num>
              <m:r>
                <m:rPr>
                  <m:nor/>
                </m:rPr>
                <w:rPr>
                  <w:rFonts w:ascii="Cambria Math" w:hAnsi="Cambria Math"/>
                </w:rPr>
                <m:t>d</m:t>
              </m:r>
              <m:r>
                <w:rPr>
                  <w:rFonts w:ascii="Cambria Math" w:hAnsi="Cambria Math"/>
                </w:rPr>
                <m:t>T</m:t>
              </m:r>
              <m:d>
                <m:dPr>
                  <m:ctrlPr>
                    <w:rPr>
                      <w:rFonts w:ascii="Cambria Math" w:hAnsi="Cambria Math"/>
                      <w:i/>
                    </w:rPr>
                  </m:ctrlPr>
                </m:dPr>
                <m:e>
                  <m:r>
                    <w:rPr>
                      <w:rFonts w:ascii="Cambria Math" w:hAnsi="Cambria Math"/>
                    </w:rPr>
                    <m:t>t</m:t>
                  </m:r>
                </m:e>
              </m:d>
            </m:num>
            <m:den>
              <m:r>
                <m:rPr>
                  <m:nor/>
                </m:rPr>
                <w:rPr>
                  <w:rFonts w:ascii="Cambria Math" w:hAnsi="Cambria Math"/>
                </w:rPr>
                <m:t>d</m:t>
              </m:r>
              <m:r>
                <w:rPr>
                  <w:rFonts w:ascii="Cambria Math" w:hAnsi="Cambria Math"/>
                </w:rPr>
                <m:t>t</m:t>
              </m:r>
            </m:den>
          </m:f>
          <m:r>
            <w:rPr>
              <w:rFonts w:ascii="Cambria Math" w:hAnsi="Cambria Math"/>
            </w:rPr>
            <m:t>=-k⋅T</m:t>
          </m:r>
          <m:d>
            <m:dPr>
              <m:ctrlPr>
                <w:rPr>
                  <w:rFonts w:ascii="Cambria Math" w:hAnsi="Cambria Math"/>
                  <w:i/>
                </w:rPr>
              </m:ctrlPr>
            </m:dPr>
            <m:e>
              <m:r>
                <w:rPr>
                  <w:rFonts w:ascii="Cambria Math" w:hAnsi="Cambria Math"/>
                </w:rPr>
                <m:t>t</m:t>
              </m:r>
            </m:e>
          </m:d>
          <m:r>
            <w:rPr>
              <w:rFonts w:ascii="Cambria Math" w:hAnsi="Cambria Math"/>
            </w:rPr>
            <m:t>+k⋅U</m:t>
          </m:r>
          <m:d>
            <m:dPr>
              <m:ctrlPr>
                <w:rPr>
                  <w:rFonts w:ascii="Cambria Math" w:hAnsi="Cambria Math"/>
                  <w:i/>
                </w:rPr>
              </m:ctrlPr>
            </m:dPr>
            <m:e>
              <m:r>
                <w:rPr>
                  <w:rFonts w:ascii="Cambria Math" w:hAnsi="Cambria Math"/>
                </w:rPr>
                <m:t>t</m:t>
              </m:r>
            </m:e>
          </m:d>
          <m:r>
            <w:rPr>
              <w:rFonts w:ascii="Cambria Math" w:hAnsi="Cambria Math"/>
            </w:rPr>
            <m:t>,</m:t>
          </m:r>
        </m:oMath>
      </m:oMathPara>
    </w:p>
    <w:p w:rsidR="00A52414" w:rsidRPr="008F1A09" w:rsidRDefault="00A52414" w:rsidP="00A52414">
      <w:r w:rsidRPr="008F1A09">
        <w:t xml:space="preserve">with the initial condition </w:t>
      </w:r>
      <m:oMath>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oMath>
      <w:r w:rsidRPr="008F1A09">
        <w:t xml:space="preserve">. Provided the environmental temperature is constant, the differential equation describes an exponential decline (or an exponential increase).  The cooling constant </w:t>
      </w:r>
      <m:oMath>
        <m:r>
          <w:rPr>
            <w:rFonts w:ascii="Cambria Math" w:hAnsi="Cambria Math"/>
          </w:rPr>
          <m:t>k</m:t>
        </m:r>
      </m:oMath>
      <w:r w:rsidRPr="008F1A09">
        <w:t xml:space="preserve"> is given as:</w:t>
      </w:r>
    </w:p>
    <w:p w:rsidR="00A52414" w:rsidRPr="008F1A09" w:rsidRDefault="00A52414" w:rsidP="00A52414">
      <m:oMathPara>
        <m:oMath>
          <m:r>
            <w:rPr>
              <w:rFonts w:ascii="Cambria Math" w:hAnsi="Cambria Math"/>
            </w:rPr>
            <m:t>k=</m:t>
          </m:r>
          <m:f>
            <m:fPr>
              <m:ctrlPr>
                <w:rPr>
                  <w:rFonts w:ascii="Cambria Math" w:hAnsi="Cambria Math"/>
                  <w:i/>
                </w:rPr>
              </m:ctrlPr>
            </m:fPr>
            <m:num>
              <m:r>
                <w:rPr>
                  <w:rFonts w:ascii="Cambria Math" w:hAnsi="Cambria Math"/>
                </w:rPr>
                <m:t>αA</m:t>
              </m:r>
            </m:num>
            <m:den>
              <m:r>
                <w:rPr>
                  <w:rFonts w:ascii="Cambria Math" w:hAnsi="Cambria Math"/>
                </w:rPr>
                <m:t>mc</m:t>
              </m:r>
            </m:den>
          </m:f>
        </m:oMath>
      </m:oMathPara>
    </w:p>
    <w:p w:rsidR="00A52414" w:rsidRPr="00A52414" w:rsidRDefault="00A52414" w:rsidP="00A52414">
      <w:r w:rsidRPr="008F1A09">
        <w:t>It depends on the heat capacity, the mass of the body, the area of the interacting surface cross section</w:t>
      </w:r>
      <w:r w:rsidR="000A2FE6">
        <w:t>,</w:t>
      </w:r>
      <w:r w:rsidRPr="008F1A09">
        <w:t xml:space="preserve"> and the heat transfer coefficient </w:t>
      </w:r>
      <m:oMath>
        <m:r>
          <w:rPr>
            <w:rFonts w:ascii="Cambria Math" w:hAnsi="Cambria Math"/>
          </w:rPr>
          <m:t>α</m:t>
        </m:r>
      </m:oMath>
      <w:r w:rsidRPr="008F1A09">
        <w:t>. Applied to our experiment</w:t>
      </w:r>
      <w:r w:rsidR="000A2FE6">
        <w:t>,</w:t>
      </w:r>
      <w:r w:rsidRPr="008F1A09">
        <w:t xml:space="preserve"> this means that due to its higher heat capacity</w:t>
      </w:r>
      <w:r w:rsidR="000A2FE6">
        <w:t>,</w:t>
      </w:r>
      <w:r w:rsidRPr="008F1A09">
        <w:t xml:space="preserve"> water cools down more slowly.</w:t>
      </w:r>
    </w:p>
    <w:sectPr w:rsidR="00A52414" w:rsidRPr="00A52414" w:rsidSect="00370D5C">
      <w:headerReference w:type="even" r:id="rId10"/>
      <w:headerReference w:type="default" r:id="rId11"/>
      <w:footerReference w:type="even"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76DC" w:rsidRDefault="008B76DC" w:rsidP="009C1F72">
      <w:pPr>
        <w:spacing w:after="0" w:line="240" w:lineRule="auto"/>
      </w:pPr>
      <w:r>
        <w:separator/>
      </w:r>
    </w:p>
  </w:endnote>
  <w:endnote w:type="continuationSeparator" w:id="0">
    <w:p w:rsidR="008B76DC" w:rsidRDefault="008B76DC" w:rsidP="009C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E6BBB72-EB6D-4A18-BE21-4A8B275C6A8E}"/>
    <w:embedBold r:id="rId2" w:fontKey="{1BCD158C-E2EE-4BE5-ACB5-AABE65E8798C}"/>
    <w:embedItalic r:id="rId3" w:fontKey="{7195ABCC-6747-4B61-8EDE-B7B447C94AB8}"/>
  </w:font>
  <w:font w:name="Tahoma">
    <w:panose1 w:val="020B0604030504040204"/>
    <w:charset w:val="00"/>
    <w:family w:val="swiss"/>
    <w:pitch w:val="variable"/>
    <w:sig w:usb0="E1002EFF" w:usb1="C000605B" w:usb2="00000029" w:usb3="00000000" w:csb0="000101FF" w:csb1="00000000"/>
    <w:embedRegular r:id="rId4" w:fontKey="{5C6B7134-7B97-4A9B-A4CC-FE6886EFCBB4}"/>
  </w:font>
  <w:font w:name="Cambria Math">
    <w:panose1 w:val="02040503050406030204"/>
    <w:charset w:val="00"/>
    <w:family w:val="roman"/>
    <w:pitch w:val="variable"/>
    <w:sig w:usb0="E00006FF" w:usb1="420024FF" w:usb2="02000000" w:usb3="00000000" w:csb0="0000019F" w:csb1="00000000"/>
    <w:embedRegular r:id="rId5" w:fontKey="{44573408-276F-4719-A091-100A1A8079E3}"/>
    <w:embedItalic r:id="rId6" w:fontKey="{5D16AC04-26C3-4B07-A001-8A7820FBB378}"/>
  </w:font>
  <w:font w:name="Cambria">
    <w:panose1 w:val="02040503050406030204"/>
    <w:charset w:val="00"/>
    <w:family w:val="roman"/>
    <w:pitch w:val="variable"/>
    <w:sig w:usb0="E00006FF" w:usb1="400004FF" w:usb2="00000000" w:usb3="00000000" w:csb0="0000019F" w:csb1="00000000"/>
    <w:embedRegular r:id="rId7" w:fontKey="{0C742526-3AFF-435F-82C1-45B08E66F1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D5C" w:rsidRDefault="00370D5C">
    <w:pPr>
      <w:pStyle w:val="Footer"/>
      <w:rPr>
        <w:sz w:val="18"/>
        <w:szCs w:val="18"/>
      </w:rPr>
    </w:pPr>
    <w:r w:rsidRPr="00956005">
      <w:rPr>
        <w:sz w:val="18"/>
        <w:szCs w:val="18"/>
      </w:rPr>
      <w:fldChar w:fldCharType="begin"/>
    </w:r>
    <w:r w:rsidRPr="00956005">
      <w:rPr>
        <w:sz w:val="18"/>
        <w:szCs w:val="18"/>
      </w:rPr>
      <w:instrText xml:space="preserve"> PAGE   \* MERGEFORMAT </w:instrText>
    </w:r>
    <w:r w:rsidRPr="00956005">
      <w:rPr>
        <w:sz w:val="18"/>
        <w:szCs w:val="18"/>
      </w:rPr>
      <w:fldChar w:fldCharType="separate"/>
    </w:r>
    <w:r w:rsidR="009A38C7">
      <w:rPr>
        <w:noProof/>
        <w:sz w:val="18"/>
        <w:szCs w:val="18"/>
      </w:rPr>
      <w:t>2</w:t>
    </w:r>
    <w:r w:rsidRPr="00956005">
      <w:rPr>
        <w:noProof/>
        <w:sz w:val="18"/>
        <w:szCs w:val="18"/>
      </w:rPr>
      <w:fldChar w:fldCharType="end"/>
    </w:r>
    <w:r>
      <w:rPr>
        <w:sz w:val="18"/>
        <w:szCs w:val="18"/>
      </w:rPr>
      <w:tab/>
    </w:r>
    <w:r>
      <w:rPr>
        <w:sz w:val="18"/>
        <w:szCs w:val="18"/>
      </w:rPr>
      <w:tab/>
    </w:r>
    <w:r w:rsidR="00697D94">
      <w:rPr>
        <w:sz w:val="18"/>
        <w:szCs w:val="18"/>
      </w:rPr>
      <w:t xml:space="preserve">Supplement: </w:t>
    </w:r>
    <w:r w:rsidR="00E54FD6">
      <w:rPr>
        <w:sz w:val="18"/>
        <w:szCs w:val="18"/>
      </w:rPr>
      <w:t>Oceans as a Heat Reservoir</w:t>
    </w:r>
  </w:p>
  <w:p w:rsidR="00370D5C" w:rsidRDefault="00370D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D5C" w:rsidRPr="00956005" w:rsidRDefault="00E90236" w:rsidP="00370D5C">
    <w:pPr>
      <w:pStyle w:val="NoSpacing"/>
      <w:tabs>
        <w:tab w:val="right" w:pos="9072"/>
      </w:tabs>
      <w:rPr>
        <w:sz w:val="18"/>
        <w:szCs w:val="18"/>
      </w:rPr>
    </w:pPr>
    <w:r>
      <w:rPr>
        <w:sz w:val="18"/>
        <w:szCs w:val="18"/>
      </w:rPr>
      <w:t xml:space="preserve">Supplement: </w:t>
    </w:r>
    <w:r w:rsidR="00E54FD6">
      <w:rPr>
        <w:sz w:val="18"/>
        <w:szCs w:val="18"/>
      </w:rPr>
      <w:t>Oceans as a Heat Reservoir</w:t>
    </w:r>
    <w:r w:rsidR="00370D5C">
      <w:rPr>
        <w:sz w:val="18"/>
        <w:szCs w:val="18"/>
      </w:rPr>
      <w:tab/>
    </w:r>
    <w:r w:rsidR="00370D5C" w:rsidRPr="00956005">
      <w:rPr>
        <w:sz w:val="18"/>
        <w:szCs w:val="18"/>
      </w:rPr>
      <w:fldChar w:fldCharType="begin"/>
    </w:r>
    <w:r w:rsidR="00370D5C" w:rsidRPr="00956005">
      <w:rPr>
        <w:sz w:val="18"/>
        <w:szCs w:val="18"/>
      </w:rPr>
      <w:instrText xml:space="preserve"> PAGE   \* MERGEFORMAT </w:instrText>
    </w:r>
    <w:r w:rsidR="00370D5C" w:rsidRPr="00956005">
      <w:rPr>
        <w:sz w:val="18"/>
        <w:szCs w:val="18"/>
      </w:rPr>
      <w:fldChar w:fldCharType="separate"/>
    </w:r>
    <w:r w:rsidR="009A38C7">
      <w:rPr>
        <w:noProof/>
        <w:sz w:val="18"/>
        <w:szCs w:val="18"/>
      </w:rPr>
      <w:t>1</w:t>
    </w:r>
    <w:r w:rsidR="00370D5C" w:rsidRPr="00956005">
      <w:rPr>
        <w:noProof/>
        <w:sz w:val="18"/>
        <w:szCs w:val="18"/>
      </w:rPr>
      <w:fldChar w:fldCharType="end"/>
    </w:r>
  </w:p>
  <w:p w:rsidR="00370D5C" w:rsidRPr="00370D5C" w:rsidRDefault="00370D5C" w:rsidP="00370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76DC" w:rsidRDefault="008B76DC" w:rsidP="009C1F72">
      <w:pPr>
        <w:spacing w:after="0" w:line="240" w:lineRule="auto"/>
      </w:pPr>
      <w:r>
        <w:separator/>
      </w:r>
    </w:p>
  </w:footnote>
  <w:footnote w:type="continuationSeparator" w:id="0">
    <w:p w:rsidR="008B76DC" w:rsidRDefault="008B76DC" w:rsidP="009C1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D5C" w:rsidRPr="004B2C42" w:rsidRDefault="004B2C42" w:rsidP="004B2C42">
    <w:pPr>
      <w:pStyle w:val="Header"/>
      <w:tabs>
        <w:tab w:val="clear" w:pos="9026"/>
        <w:tab w:val="left" w:pos="0"/>
        <w:tab w:val="right" w:pos="9072"/>
      </w:tabs>
    </w:pPr>
    <w:r w:rsidRPr="00E8342E">
      <w:rPr>
        <w:noProof/>
        <w:lang w:val="en-IN" w:eastAsia="en-IN"/>
      </w:rPr>
      <w:drawing>
        <wp:inline distT="0" distB="0" distL="0" distR="0" wp14:anchorId="090FE1D2" wp14:editId="4156FB92">
          <wp:extent cx="3299684" cy="6480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299684" cy="648000"/>
                  </a:xfrm>
                  <a:prstGeom prst="rect">
                    <a:avLst/>
                  </a:prstGeom>
                  <a:noFill/>
                  <a:ln>
                    <a:noFill/>
                  </a:ln>
                  <a:extLst>
                    <a:ext uri="{53640926-AAD7-44D8-BBD7-CCE9431645EC}">
                      <a14:shadowObscured xmlns:a14="http://schemas.microsoft.com/office/drawing/2010/main"/>
                    </a:ext>
                  </a:extLst>
                </pic:spPr>
              </pic:pic>
            </a:graphicData>
          </a:graphic>
        </wp:inline>
      </w:drawing>
    </w:r>
    <w:r w:rsidRPr="00E8342E">
      <w:rPr>
        <w:noProof/>
        <w:lang w:val="en-IN" w:eastAsia="en-IN"/>
      </w:rPr>
      <w:drawing>
        <wp:inline distT="0" distB="0" distL="0" distR="0" wp14:anchorId="40FDF86A" wp14:editId="6A2FD552">
          <wp:extent cx="1305854" cy="648000"/>
          <wp:effectExtent l="0" t="0" r="889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5854" cy="648000"/>
                  </a:xfrm>
                  <a:prstGeom prst="rect">
                    <a:avLst/>
                  </a:prstGeom>
                  <a:noFill/>
                  <a:ln>
                    <a:noFill/>
                  </a:ln>
                </pic:spPr>
              </pic:pic>
            </a:graphicData>
          </a:graphic>
        </wp:inline>
      </w:drawing>
    </w:r>
    <w:r>
      <w:tab/>
    </w:r>
    <w:r w:rsidRPr="00307B4B">
      <w:rPr>
        <w:noProof/>
        <w:lang w:val="en-IN" w:eastAsia="en-IN"/>
      </w:rPr>
      <w:drawing>
        <wp:inline distT="0" distB="0" distL="0" distR="0" wp14:anchorId="48178A53" wp14:editId="4A225C55">
          <wp:extent cx="847937" cy="576000"/>
          <wp:effectExtent l="57150" t="57150" r="66675" b="5270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7937" cy="576000"/>
                  </a:xfrm>
                  <a:prstGeom prst="rect">
                    <a:avLst/>
                  </a:prstGeom>
                  <a:noFill/>
                  <a:ln w="63500">
                    <a:solidFill>
                      <a:schemeClr val="bg1"/>
                    </a:solid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D5C" w:rsidRPr="004B2C42" w:rsidRDefault="004B2C42" w:rsidP="004B2C42">
    <w:pPr>
      <w:pStyle w:val="Header"/>
      <w:tabs>
        <w:tab w:val="clear" w:pos="9026"/>
        <w:tab w:val="left" w:pos="0"/>
        <w:tab w:val="right" w:pos="9072"/>
      </w:tabs>
    </w:pPr>
    <w:r w:rsidRPr="00E8342E">
      <w:rPr>
        <w:noProof/>
        <w:lang w:val="en-IN" w:eastAsia="en-IN"/>
      </w:rPr>
      <w:drawing>
        <wp:inline distT="0" distB="0" distL="0" distR="0" wp14:anchorId="233CFBFA" wp14:editId="759B6A27">
          <wp:extent cx="3299684" cy="6480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299684" cy="648000"/>
                  </a:xfrm>
                  <a:prstGeom prst="rect">
                    <a:avLst/>
                  </a:prstGeom>
                  <a:noFill/>
                  <a:ln>
                    <a:noFill/>
                  </a:ln>
                  <a:extLst>
                    <a:ext uri="{53640926-AAD7-44D8-BBD7-CCE9431645EC}">
                      <a14:shadowObscured xmlns:a14="http://schemas.microsoft.com/office/drawing/2010/main"/>
                    </a:ext>
                  </a:extLst>
                </pic:spPr>
              </pic:pic>
            </a:graphicData>
          </a:graphic>
        </wp:inline>
      </w:drawing>
    </w:r>
    <w:r w:rsidRPr="00E8342E">
      <w:rPr>
        <w:noProof/>
        <w:lang w:val="en-IN" w:eastAsia="en-IN"/>
      </w:rPr>
      <w:drawing>
        <wp:inline distT="0" distB="0" distL="0" distR="0" wp14:anchorId="66444D2E" wp14:editId="6551D705">
          <wp:extent cx="1305854" cy="648000"/>
          <wp:effectExtent l="0" t="0" r="889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5854" cy="648000"/>
                  </a:xfrm>
                  <a:prstGeom prst="rect">
                    <a:avLst/>
                  </a:prstGeom>
                  <a:noFill/>
                  <a:ln>
                    <a:noFill/>
                  </a:ln>
                </pic:spPr>
              </pic:pic>
            </a:graphicData>
          </a:graphic>
        </wp:inline>
      </w:drawing>
    </w:r>
    <w:r>
      <w:tab/>
    </w:r>
    <w:r w:rsidRPr="00307B4B">
      <w:rPr>
        <w:noProof/>
        <w:lang w:val="en-IN" w:eastAsia="en-IN"/>
      </w:rPr>
      <w:drawing>
        <wp:inline distT="0" distB="0" distL="0" distR="0" wp14:anchorId="0FB2B795" wp14:editId="56397DA9">
          <wp:extent cx="847937" cy="576000"/>
          <wp:effectExtent l="57150" t="57150" r="66675" b="527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7937" cy="576000"/>
                  </a:xfrm>
                  <a:prstGeom prst="rect">
                    <a:avLst/>
                  </a:prstGeom>
                  <a:noFill/>
                  <a:ln w="63500">
                    <a:solidFill>
                      <a:schemeClr val="bg1"/>
                    </a:solid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A53309"/>
    <w:multiLevelType w:val="hybridMultilevel"/>
    <w:tmpl w:val="3BBE4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5C05C6"/>
    <w:multiLevelType w:val="hybridMultilevel"/>
    <w:tmpl w:val="51628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37B51BB"/>
    <w:multiLevelType w:val="hybridMultilevel"/>
    <w:tmpl w:val="98126A9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FFC02A1"/>
    <w:multiLevelType w:val="hybridMultilevel"/>
    <w:tmpl w:val="F3E643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0E86D4C"/>
    <w:multiLevelType w:val="hybridMultilevel"/>
    <w:tmpl w:val="8C2E4C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1A82AC9"/>
    <w:multiLevelType w:val="hybridMultilevel"/>
    <w:tmpl w:val="2E828A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C9703AA"/>
    <w:multiLevelType w:val="hybridMultilevel"/>
    <w:tmpl w:val="91E69F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2"/>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7Y0NTAwMDIwNDA3NTBV0lEKTi0uzszPAykwrAUAuhxnTywAAAA="/>
  </w:docVars>
  <w:rsids>
    <w:rsidRoot w:val="00285F87"/>
    <w:rsid w:val="00032B33"/>
    <w:rsid w:val="00042DDA"/>
    <w:rsid w:val="000A2FE6"/>
    <w:rsid w:val="000A78FD"/>
    <w:rsid w:val="000B2E8F"/>
    <w:rsid w:val="000B69B2"/>
    <w:rsid w:val="000D4990"/>
    <w:rsid w:val="000E22AE"/>
    <w:rsid w:val="0010008A"/>
    <w:rsid w:val="00101BF0"/>
    <w:rsid w:val="00140531"/>
    <w:rsid w:val="001838A2"/>
    <w:rsid w:val="00196242"/>
    <w:rsid w:val="001C02D6"/>
    <w:rsid w:val="001E718C"/>
    <w:rsid w:val="001F3022"/>
    <w:rsid w:val="002014C9"/>
    <w:rsid w:val="002049A2"/>
    <w:rsid w:val="00245F64"/>
    <w:rsid w:val="002465E6"/>
    <w:rsid w:val="0026375A"/>
    <w:rsid w:val="00274FE2"/>
    <w:rsid w:val="00285F87"/>
    <w:rsid w:val="002A4F45"/>
    <w:rsid w:val="002F30D9"/>
    <w:rsid w:val="00305DF5"/>
    <w:rsid w:val="003065EA"/>
    <w:rsid w:val="00310881"/>
    <w:rsid w:val="003150A6"/>
    <w:rsid w:val="0032063D"/>
    <w:rsid w:val="003231E9"/>
    <w:rsid w:val="003324B1"/>
    <w:rsid w:val="00352F4A"/>
    <w:rsid w:val="00355ABB"/>
    <w:rsid w:val="00355DD3"/>
    <w:rsid w:val="00361232"/>
    <w:rsid w:val="00370D5C"/>
    <w:rsid w:val="00371114"/>
    <w:rsid w:val="003739FA"/>
    <w:rsid w:val="00377ACC"/>
    <w:rsid w:val="00385B8B"/>
    <w:rsid w:val="0039264A"/>
    <w:rsid w:val="0039780B"/>
    <w:rsid w:val="003C6DEF"/>
    <w:rsid w:val="003E1C0A"/>
    <w:rsid w:val="003F6F42"/>
    <w:rsid w:val="004007BB"/>
    <w:rsid w:val="0042587B"/>
    <w:rsid w:val="00451337"/>
    <w:rsid w:val="00454C6C"/>
    <w:rsid w:val="0047291E"/>
    <w:rsid w:val="004962D3"/>
    <w:rsid w:val="004A662E"/>
    <w:rsid w:val="004A6EDF"/>
    <w:rsid w:val="004B2C42"/>
    <w:rsid w:val="004D2260"/>
    <w:rsid w:val="004F6F8C"/>
    <w:rsid w:val="00507CF9"/>
    <w:rsid w:val="0057761B"/>
    <w:rsid w:val="0058214C"/>
    <w:rsid w:val="00586E67"/>
    <w:rsid w:val="00597D51"/>
    <w:rsid w:val="00597F1D"/>
    <w:rsid w:val="005E003E"/>
    <w:rsid w:val="005F153E"/>
    <w:rsid w:val="005F5BC8"/>
    <w:rsid w:val="00614DCD"/>
    <w:rsid w:val="006462E7"/>
    <w:rsid w:val="00653DF3"/>
    <w:rsid w:val="00667F0C"/>
    <w:rsid w:val="00687EB2"/>
    <w:rsid w:val="00697D94"/>
    <w:rsid w:val="006A45C1"/>
    <w:rsid w:val="006F5F3A"/>
    <w:rsid w:val="006F7EE5"/>
    <w:rsid w:val="00707F80"/>
    <w:rsid w:val="00714F9E"/>
    <w:rsid w:val="00744C47"/>
    <w:rsid w:val="007A1751"/>
    <w:rsid w:val="007A2C79"/>
    <w:rsid w:val="007A719E"/>
    <w:rsid w:val="007B0065"/>
    <w:rsid w:val="007B181D"/>
    <w:rsid w:val="007B6C64"/>
    <w:rsid w:val="007C5C63"/>
    <w:rsid w:val="007D47CA"/>
    <w:rsid w:val="00804601"/>
    <w:rsid w:val="00812B61"/>
    <w:rsid w:val="00825BAC"/>
    <w:rsid w:val="00850D81"/>
    <w:rsid w:val="00852DD5"/>
    <w:rsid w:val="00897189"/>
    <w:rsid w:val="008B15BD"/>
    <w:rsid w:val="008B696B"/>
    <w:rsid w:val="008B76DC"/>
    <w:rsid w:val="008C21E7"/>
    <w:rsid w:val="008D4A00"/>
    <w:rsid w:val="008E7DEF"/>
    <w:rsid w:val="008F09DC"/>
    <w:rsid w:val="00903194"/>
    <w:rsid w:val="00985CA3"/>
    <w:rsid w:val="00990D12"/>
    <w:rsid w:val="009949A0"/>
    <w:rsid w:val="009A38C7"/>
    <w:rsid w:val="009C1F72"/>
    <w:rsid w:val="009D4F81"/>
    <w:rsid w:val="009F15FC"/>
    <w:rsid w:val="00A52414"/>
    <w:rsid w:val="00A71CCF"/>
    <w:rsid w:val="00A97EEE"/>
    <w:rsid w:val="00AA2AD7"/>
    <w:rsid w:val="00AB0198"/>
    <w:rsid w:val="00AD7A40"/>
    <w:rsid w:val="00AE6D55"/>
    <w:rsid w:val="00AF0AD1"/>
    <w:rsid w:val="00AF1C31"/>
    <w:rsid w:val="00B11FE4"/>
    <w:rsid w:val="00B16A51"/>
    <w:rsid w:val="00B3229A"/>
    <w:rsid w:val="00B557D6"/>
    <w:rsid w:val="00B67E11"/>
    <w:rsid w:val="00B754BF"/>
    <w:rsid w:val="00B969B3"/>
    <w:rsid w:val="00BD2D1C"/>
    <w:rsid w:val="00BD5433"/>
    <w:rsid w:val="00C128A7"/>
    <w:rsid w:val="00C72591"/>
    <w:rsid w:val="00C873A3"/>
    <w:rsid w:val="00CA348C"/>
    <w:rsid w:val="00CE3379"/>
    <w:rsid w:val="00CF3AD9"/>
    <w:rsid w:val="00D01B9F"/>
    <w:rsid w:val="00D20260"/>
    <w:rsid w:val="00D30227"/>
    <w:rsid w:val="00D5186B"/>
    <w:rsid w:val="00D57B66"/>
    <w:rsid w:val="00D76D62"/>
    <w:rsid w:val="00DB37E0"/>
    <w:rsid w:val="00DC43A7"/>
    <w:rsid w:val="00DD59BD"/>
    <w:rsid w:val="00E22369"/>
    <w:rsid w:val="00E24884"/>
    <w:rsid w:val="00E54FD6"/>
    <w:rsid w:val="00E6474D"/>
    <w:rsid w:val="00E73643"/>
    <w:rsid w:val="00E90236"/>
    <w:rsid w:val="00E93BB2"/>
    <w:rsid w:val="00EB35E2"/>
    <w:rsid w:val="00EB5763"/>
    <w:rsid w:val="00EC2BC8"/>
    <w:rsid w:val="00EC4C4B"/>
    <w:rsid w:val="00EE5428"/>
    <w:rsid w:val="00F21D6F"/>
    <w:rsid w:val="00F307BF"/>
    <w:rsid w:val="00F33FD9"/>
    <w:rsid w:val="00F652FA"/>
    <w:rsid w:val="00F658D9"/>
    <w:rsid w:val="00F92F9A"/>
    <w:rsid w:val="00F977B9"/>
    <w:rsid w:val="00FA2D64"/>
    <w:rsid w:val="00FC23C3"/>
    <w:rsid w:val="00FE12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1DB4400-8E0D-4934-B378-4EA725AFA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719E"/>
    <w:rPr>
      <w:rFonts w:eastAsia="Times New Roman" w:cs="Times New Roman"/>
      <w:lang w:val="en-GB"/>
    </w:rPr>
  </w:style>
  <w:style w:type="paragraph" w:styleId="Heading1">
    <w:name w:val="heading 1"/>
    <w:basedOn w:val="Normal"/>
    <w:next w:val="Normal"/>
    <w:link w:val="Heading1Char"/>
    <w:uiPriority w:val="9"/>
    <w:qFormat/>
    <w:rsid w:val="007A719E"/>
    <w:pPr>
      <w:keepNext/>
      <w:keepLines/>
      <w:spacing w:before="480" w:after="0"/>
      <w:outlineLvl w:val="0"/>
    </w:pPr>
    <w:rPr>
      <w:rFonts w:ascii="Calibri" w:eastAsiaTheme="majorEastAsia" w:hAnsi="Calibr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2414"/>
    <w:pPr>
      <w:keepNext/>
      <w:keepLines/>
      <w:spacing w:before="200" w:after="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rPr>
      <w:rFonts w:eastAsiaTheme="minorHAnsi" w:cstheme="minorBidi"/>
    </w:r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rPr>
      <w:rFonts w:eastAsiaTheme="minorHAnsi" w:cstheme="minorBidi"/>
    </w:r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9C1F72"/>
    <w:pPr>
      <w:spacing w:line="240" w:lineRule="auto"/>
    </w:pPr>
    <w:rPr>
      <w:b/>
      <w:bCs/>
      <w:color w:val="4F81BD" w:themeColor="accent1"/>
      <w:sz w:val="18"/>
      <w:szCs w:val="18"/>
    </w:rPr>
  </w:style>
  <w:style w:type="paragraph" w:styleId="NoSpacing">
    <w:name w:val="No Spacing"/>
    <w:uiPriority w:val="1"/>
    <w:qFormat/>
    <w:rsid w:val="005F153E"/>
    <w:pPr>
      <w:spacing w:after="0" w:line="240" w:lineRule="auto"/>
    </w:pPr>
    <w:rPr>
      <w:rFonts w:eastAsia="Times New Roman" w:cs="Times New Roman"/>
      <w:lang w:val="en-GB"/>
    </w:rPr>
  </w:style>
  <w:style w:type="table" w:styleId="TableGrid">
    <w:name w:val="Table Grid"/>
    <w:basedOn w:val="TableNormal"/>
    <w:uiPriority w:val="5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8F"/>
    <w:pPr>
      <w:ind w:left="720"/>
      <w:contextualSpacing/>
    </w:pPr>
    <w:rPr>
      <w:rFonts w:eastAsiaTheme="minorHAnsi" w:cstheme="minorBidi"/>
    </w:rPr>
  </w:style>
  <w:style w:type="character" w:styleId="PlaceholderText">
    <w:name w:val="Placeholder Text"/>
    <w:basedOn w:val="DefaultParagraphFont"/>
    <w:uiPriority w:val="99"/>
    <w:semiHidden/>
    <w:rsid w:val="00990D12"/>
    <w:rPr>
      <w:color w:val="808080"/>
    </w:rPr>
  </w:style>
  <w:style w:type="character" w:customStyle="1" w:styleId="label">
    <w:name w:val="label"/>
    <w:basedOn w:val="DefaultParagraphFont"/>
    <w:rsid w:val="00D5186B"/>
    <w:rPr>
      <w:rFonts w:cs="Times New Roman"/>
    </w:rPr>
  </w:style>
  <w:style w:type="character" w:styleId="Strong">
    <w:name w:val="Strong"/>
    <w:basedOn w:val="DefaultParagraphFont"/>
    <w:uiPriority w:val="22"/>
    <w:qFormat/>
    <w:rsid w:val="002A4F45"/>
    <w:rPr>
      <w:b/>
      <w:bCs/>
    </w:rPr>
  </w:style>
  <w:style w:type="character" w:styleId="Emphasis">
    <w:name w:val="Emphasis"/>
    <w:basedOn w:val="DefaultParagraphFont"/>
    <w:uiPriority w:val="20"/>
    <w:qFormat/>
    <w:rsid w:val="002A4F45"/>
    <w:rPr>
      <w:i/>
      <w:iCs/>
    </w:rPr>
  </w:style>
  <w:style w:type="character" w:styleId="CommentReference">
    <w:name w:val="annotation reference"/>
    <w:basedOn w:val="DefaultParagraphFont"/>
    <w:uiPriority w:val="99"/>
    <w:semiHidden/>
    <w:unhideWhenUsed/>
    <w:rsid w:val="00451337"/>
    <w:rPr>
      <w:sz w:val="16"/>
      <w:szCs w:val="16"/>
    </w:rPr>
  </w:style>
  <w:style w:type="paragraph" w:styleId="CommentText">
    <w:name w:val="annotation text"/>
    <w:basedOn w:val="Normal"/>
    <w:link w:val="CommentTextChar"/>
    <w:uiPriority w:val="99"/>
    <w:semiHidden/>
    <w:unhideWhenUsed/>
    <w:rsid w:val="00451337"/>
    <w:pPr>
      <w:spacing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451337"/>
    <w:rPr>
      <w:sz w:val="20"/>
      <w:szCs w:val="20"/>
      <w:lang w:val="en-GB"/>
    </w:rPr>
  </w:style>
  <w:style w:type="paragraph" w:styleId="CommentSubject">
    <w:name w:val="annotation subject"/>
    <w:basedOn w:val="CommentText"/>
    <w:next w:val="CommentText"/>
    <w:link w:val="CommentSubjectChar"/>
    <w:uiPriority w:val="99"/>
    <w:semiHidden/>
    <w:unhideWhenUsed/>
    <w:rsid w:val="00451337"/>
    <w:rPr>
      <w:b/>
      <w:bCs/>
    </w:rPr>
  </w:style>
  <w:style w:type="character" w:customStyle="1" w:styleId="CommentSubjectChar">
    <w:name w:val="Comment Subject Char"/>
    <w:basedOn w:val="CommentTextChar"/>
    <w:link w:val="CommentSubject"/>
    <w:uiPriority w:val="99"/>
    <w:semiHidden/>
    <w:rsid w:val="00451337"/>
    <w:rPr>
      <w:b/>
      <w:bCs/>
      <w:sz w:val="20"/>
      <w:szCs w:val="20"/>
      <w:lang w:val="en-GB"/>
    </w:rPr>
  </w:style>
  <w:style w:type="paragraph" w:styleId="Bibliography">
    <w:name w:val="Bibliography"/>
    <w:basedOn w:val="Normal"/>
    <w:next w:val="Normal"/>
    <w:uiPriority w:val="37"/>
    <w:unhideWhenUsed/>
    <w:rsid w:val="007A719E"/>
    <w:pPr>
      <w:spacing w:after="0" w:line="480" w:lineRule="auto"/>
      <w:ind w:left="720" w:hanging="720"/>
    </w:pPr>
  </w:style>
  <w:style w:type="character" w:customStyle="1" w:styleId="Heading1Char">
    <w:name w:val="Heading 1 Char"/>
    <w:basedOn w:val="DefaultParagraphFont"/>
    <w:link w:val="Heading1"/>
    <w:uiPriority w:val="9"/>
    <w:rsid w:val="007A719E"/>
    <w:rPr>
      <w:rFonts w:ascii="Calibri" w:eastAsiaTheme="majorEastAsia" w:hAnsi="Calibri" w:cstheme="majorBidi"/>
      <w:b/>
      <w:bCs/>
      <w:color w:val="365F91" w:themeColor="accent1" w:themeShade="BF"/>
      <w:sz w:val="28"/>
      <w:szCs w:val="28"/>
      <w:lang w:val="en-GB"/>
    </w:rPr>
  </w:style>
  <w:style w:type="paragraph" w:styleId="Title">
    <w:name w:val="Title"/>
    <w:basedOn w:val="Normal"/>
    <w:next w:val="Normal"/>
    <w:link w:val="TitleChar"/>
    <w:uiPriority w:val="10"/>
    <w:qFormat/>
    <w:rsid w:val="00714F9E"/>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14F9E"/>
    <w:rPr>
      <w:rFonts w:eastAsiaTheme="majorEastAsia" w:cstheme="majorBidi"/>
      <w:color w:val="17365D" w:themeColor="text2" w:themeShade="BF"/>
      <w:spacing w:val="5"/>
      <w:kern w:val="28"/>
      <w:sz w:val="52"/>
      <w:szCs w:val="52"/>
      <w:lang w:val="en-GB"/>
    </w:rPr>
  </w:style>
  <w:style w:type="character" w:customStyle="1" w:styleId="Heading2Char">
    <w:name w:val="Heading 2 Char"/>
    <w:basedOn w:val="DefaultParagraphFont"/>
    <w:link w:val="Heading2"/>
    <w:uiPriority w:val="9"/>
    <w:rsid w:val="00A52414"/>
    <w:rPr>
      <w:rFonts w:eastAsiaTheme="majorEastAsia" w:cstheme="majorBidi"/>
      <w:b/>
      <w:bCs/>
      <w:color w:val="4F81BD" w:themeColor="accent1"/>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mmons.wikimedia.org/wiki/File:LesliesCube.pn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McG01</b:Tag>
    <b:SourceType>Book</b:SourceType>
    <b:Guid>{6AD59047-1130-40AB-A573-0DDDBB88E6D2}</b:Guid>
    <b:Title>Boats of the World: From the Stone Age to Medieval Times</b:Title>
    <b:Year>2001</b:Year>
    <b:City>Oxford</b:City>
    <b:Publisher>Oxford University Press</b:Publisher>
    <b:Author>
      <b:Author>
        <b:NameList>
          <b:Person>
            <b:Last>McGrail</b:Last>
            <b:First>Seán</b:First>
          </b:Person>
        </b:NameList>
      </b:Author>
    </b:Author>
    <b:StandardNumber>ISBN 978-0-19-927186-3</b:StandardNumber>
    <b:RefOrder>5</b:RefOrder>
  </b:Source>
  <b:Source>
    <b:Tag>Mal03</b:Tag>
    <b:SourceType>ConferenceProceedings</b:SourceType>
    <b:Guid>{4012626A-69B3-4C56-B034-81C5149D2102}</b:Guid>
    <b:Title>The Stellar Compass and the Kamal</b:Title>
    <b:Year>2003</b:Year>
    <b:City>New Delhi</b:City>
    <b:Pages>V-1 - V-34</b:Pages>
    <b:ConferenceName>Proceedings of the International Seminar on Marine Archeology</b:ConferenceName>
    <b:Author>
      <b:Author>
        <b:NameList>
          <b:Person>
            <b:Last>Malhão Pereira</b:Last>
            <b:First>José</b:First>
            <b:Middle>Manuel</b:Middle>
          </b:Person>
        </b:NameList>
      </b:Author>
      <b:Editor>
        <b:NameList>
          <b:Person>
            <b:Last>Tripathi</b:Last>
            <b:First>Alok</b:First>
          </b:Person>
        </b:NameList>
      </b:Editor>
    </b:Author>
    <b:RefOrder>6</b:RefOrder>
  </b:Source>
  <b:Source>
    <b:Tag>Lau09</b:Tag>
    <b:SourceType>Book</b:SourceType>
    <b:Guid>{9F1F3723-81DC-49EE-804A-6DB004E91489}</b:Guid>
    <b:Title>Navigation Through The Ages</b:Title>
    <b:Pages>224</b:Pages>
    <b:Year>2009</b:Year>
    <b:Publisher>Sheridan House, Inc.</b:Publisher>
    <b:Author>
      <b:Author>
        <b:NameList>
          <b:Person>
            <b:Last>Launer</b:Last>
            <b:First>Donald</b:First>
          </b:Person>
        </b:NameList>
      </b:Author>
    </b:Author>
    <b:CountryRegion>USA</b:CountryRegion>
    <b:StandardNumber>ISBN 978-1-57409-278-3</b:StandardNumber>
    <b:Edition>Paperback</b:Edition>
    <b:RefOrder>7</b:RefOrder>
  </b:Source>
</b:Sources>
</file>

<file path=customXml/itemProps1.xml><?xml version="1.0" encoding="utf-8"?>
<ds:datastoreItem xmlns:ds="http://schemas.openxmlformats.org/officeDocument/2006/customXml" ds:itemID="{7026EB98-471A-4679-BB7B-1452356BC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746</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The Engine of Life - Supplement</vt:lpstr>
    </vt:vector>
  </TitlesOfParts>
  <Company>Max-Planck-Institute for Astronomy</Company>
  <LinksUpToDate>false</LinksUpToDate>
  <CharactersWithSpaces>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Engine of Life - Supplement</dc:title>
  <dc:subject>The Habitable Zone</dc:subject>
  <dc:creator>Markus Nielbock</dc:creator>
  <cp:lastModifiedBy>Thilina Heenatigala</cp:lastModifiedBy>
  <cp:revision>18</cp:revision>
  <cp:lastPrinted>2018-02-24T12:47:00Z</cp:lastPrinted>
  <dcterms:created xsi:type="dcterms:W3CDTF">2018-01-16T14:53:00Z</dcterms:created>
  <dcterms:modified xsi:type="dcterms:W3CDTF">2018-02-24T12:47:00Z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zotero-version="5.0.20"&gt;&lt;session id="OsWl2bQu"/&gt;&lt;style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 name="noteType" value="0"/&gt;&lt;/prefs&gt;&lt;/data&gt;</vt:lpwstr>
  </property>
</Properties>
</file>